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AE" w:rsidRPr="00DA2712" w:rsidRDefault="008E0176">
      <w:pPr>
        <w:rPr>
          <w:rFonts w:ascii="Times New Roman" w:hAnsi="Times New Roman" w:cs="Times New Roman"/>
          <w:b/>
        </w:rPr>
      </w:pPr>
      <w:r w:rsidRPr="00DA2712">
        <w:rPr>
          <w:rFonts w:ascii="Times New Roman" w:hAnsi="Times New Roman" w:cs="Times New Roman"/>
          <w:b/>
        </w:rPr>
        <w:t>For Immediate Release</w:t>
      </w:r>
    </w:p>
    <w:p w:rsidR="008E0176" w:rsidRPr="00DA2712" w:rsidRDefault="008E0176">
      <w:pPr>
        <w:rPr>
          <w:rFonts w:ascii="Times New Roman" w:hAnsi="Times New Roman" w:cs="Times New Roman"/>
        </w:rPr>
      </w:pPr>
      <w:r w:rsidRPr="00DA2712">
        <w:rPr>
          <w:rFonts w:ascii="Times New Roman" w:hAnsi="Times New Roman" w:cs="Times New Roman"/>
        </w:rPr>
        <w:t>Contact:  Nicola Giovannini</w:t>
      </w:r>
    </w:p>
    <w:p w:rsidR="008E0176" w:rsidRPr="00DA2712" w:rsidRDefault="008E0176">
      <w:pPr>
        <w:rPr>
          <w:rFonts w:ascii="Times New Roman" w:hAnsi="Times New Roman" w:cs="Times New Roman"/>
        </w:rPr>
      </w:pPr>
      <w:r w:rsidRPr="00DA2712">
        <w:rPr>
          <w:rFonts w:ascii="Times New Roman" w:hAnsi="Times New Roman" w:cs="Times New Roman"/>
        </w:rPr>
        <w:t>Phone: +32 (0) 486 78 31 93</w:t>
      </w:r>
    </w:p>
    <w:p w:rsidR="00465964" w:rsidRPr="00DA2712" w:rsidRDefault="00465964">
      <w:pPr>
        <w:rPr>
          <w:rFonts w:ascii="Times New Roman" w:hAnsi="Times New Roman" w:cs="Times New Roman"/>
        </w:rPr>
      </w:pPr>
      <w:r w:rsidRPr="00DA2712">
        <w:rPr>
          <w:rFonts w:ascii="Times New Roman" w:hAnsi="Times New Roman" w:cs="Times New Roman"/>
        </w:rPr>
        <w:t xml:space="preserve">Email: </w:t>
      </w:r>
      <w:hyperlink r:id="rId7" w:history="1">
        <w:r w:rsidRPr="00DA2712">
          <w:rPr>
            <w:rStyle w:val="Hyperlink"/>
            <w:rFonts w:ascii="Times New Roman" w:hAnsi="Times New Roman" w:cs="Times New Roman"/>
          </w:rPr>
          <w:t>ngiovannini@npwj.org</w:t>
        </w:r>
      </w:hyperlink>
    </w:p>
    <w:p w:rsidR="00465964" w:rsidRPr="00DA2712" w:rsidRDefault="00465964">
      <w:pPr>
        <w:rPr>
          <w:rFonts w:ascii="Times New Roman" w:hAnsi="Times New Roman" w:cs="Times New Roman"/>
        </w:rPr>
      </w:pPr>
    </w:p>
    <w:p w:rsidR="00465964" w:rsidRPr="00DA2712" w:rsidRDefault="00DA2712" w:rsidP="00465964">
      <w:pPr>
        <w:jc w:val="center"/>
        <w:rPr>
          <w:rFonts w:ascii="Times New Roman" w:hAnsi="Times New Roman" w:cs="Times New Roman"/>
          <w:b/>
        </w:rPr>
      </w:pPr>
      <w:r w:rsidRPr="00DA2712">
        <w:rPr>
          <w:rFonts w:ascii="Times New Roman" w:hAnsi="Times New Roman" w:cs="Times New Roman"/>
          <w:b/>
        </w:rPr>
        <w:t>Iraqis, European</w:t>
      </w:r>
      <w:r w:rsidR="007D443F">
        <w:rPr>
          <w:rFonts w:ascii="Times New Roman" w:hAnsi="Times New Roman" w:cs="Times New Roman"/>
          <w:b/>
        </w:rPr>
        <w:t>s Press for</w:t>
      </w:r>
      <w:r w:rsidRPr="00DA2712">
        <w:rPr>
          <w:rFonts w:ascii="Times New Roman" w:hAnsi="Times New Roman" w:cs="Times New Roman"/>
          <w:b/>
        </w:rPr>
        <w:t xml:space="preserve"> Support for Post-ISIS Transition</w:t>
      </w:r>
    </w:p>
    <w:p w:rsidR="00465964" w:rsidRPr="00DA2712" w:rsidRDefault="00465964">
      <w:pPr>
        <w:rPr>
          <w:rFonts w:ascii="Times New Roman" w:hAnsi="Times New Roman" w:cs="Times New Roman"/>
        </w:rPr>
      </w:pPr>
    </w:p>
    <w:p w:rsidR="007D443F" w:rsidRDefault="00DA2712" w:rsidP="00573C31">
      <w:pPr>
        <w:jc w:val="both"/>
        <w:rPr>
          <w:rFonts w:ascii="Times New Roman" w:hAnsi="Times New Roman" w:cs="Times New Roman"/>
        </w:rPr>
      </w:pPr>
      <w:r w:rsidRPr="00DA2712">
        <w:rPr>
          <w:rFonts w:ascii="Times New Roman" w:hAnsi="Times New Roman" w:cs="Times New Roman"/>
          <w:i/>
        </w:rPr>
        <w:t xml:space="preserve">Brussels – </w:t>
      </w:r>
      <w:r w:rsidR="00573C31">
        <w:rPr>
          <w:rFonts w:ascii="Times New Roman" w:hAnsi="Times New Roman" w:cs="Times New Roman"/>
          <w:i/>
        </w:rPr>
        <w:t>7</w:t>
      </w:r>
      <w:r w:rsidRPr="00DA2712">
        <w:rPr>
          <w:rFonts w:ascii="Times New Roman" w:hAnsi="Times New Roman" w:cs="Times New Roman"/>
          <w:i/>
        </w:rPr>
        <w:t xml:space="preserve"> June 2</w:t>
      </w:r>
      <w:r w:rsidR="009A190B">
        <w:rPr>
          <w:rFonts w:ascii="Times New Roman" w:hAnsi="Times New Roman" w:cs="Times New Roman"/>
          <w:i/>
        </w:rPr>
        <w:t>01</w:t>
      </w:r>
      <w:r w:rsidRPr="00DA2712">
        <w:rPr>
          <w:rFonts w:ascii="Times New Roman" w:hAnsi="Times New Roman" w:cs="Times New Roman"/>
          <w:i/>
        </w:rPr>
        <w:t>7</w:t>
      </w:r>
      <w:r w:rsidR="00465964" w:rsidRPr="00DA2712">
        <w:rPr>
          <w:rFonts w:ascii="Times New Roman" w:hAnsi="Times New Roman" w:cs="Times New Roman"/>
          <w:i/>
        </w:rPr>
        <w:t xml:space="preserve"> </w:t>
      </w:r>
      <w:r w:rsidR="007D443F">
        <w:rPr>
          <w:rFonts w:ascii="Times New Roman" w:hAnsi="Times New Roman" w:cs="Times New Roman"/>
          <w:i/>
        </w:rPr>
        <w:t>–</w:t>
      </w:r>
      <w:r w:rsidR="007D443F">
        <w:rPr>
          <w:rFonts w:ascii="Times New Roman" w:hAnsi="Times New Roman" w:cs="Times New Roman"/>
        </w:rPr>
        <w:t xml:space="preserve"> A </w:t>
      </w:r>
      <w:hyperlink r:id="rId8" w:history="1">
        <w:r w:rsidR="007D443F" w:rsidRPr="00756405">
          <w:rPr>
            <w:rStyle w:val="Hyperlink"/>
            <w:rFonts w:ascii="Times New Roman" w:hAnsi="Times New Roman" w:cs="Times New Roman"/>
          </w:rPr>
          <w:t>conference</w:t>
        </w:r>
      </w:hyperlink>
      <w:r w:rsidR="007D443F">
        <w:rPr>
          <w:rFonts w:ascii="Times New Roman" w:hAnsi="Times New Roman" w:cs="Times New Roman"/>
        </w:rPr>
        <w:t xml:space="preserve"> organized to discuss the shape of Post-ISIS Iraq concluded with consensus </w:t>
      </w:r>
      <w:r w:rsidR="009A190B">
        <w:rPr>
          <w:rFonts w:ascii="Times New Roman" w:hAnsi="Times New Roman" w:cs="Times New Roman"/>
        </w:rPr>
        <w:t>on a broad array of steps to return displaced</w:t>
      </w:r>
      <w:r w:rsidR="007D443F">
        <w:rPr>
          <w:rFonts w:ascii="Times New Roman" w:hAnsi="Times New Roman" w:cs="Times New Roman"/>
        </w:rPr>
        <w:t xml:space="preserve"> </w:t>
      </w:r>
      <w:r w:rsidR="009A190B">
        <w:rPr>
          <w:rFonts w:ascii="Times New Roman" w:hAnsi="Times New Roman" w:cs="Times New Roman"/>
        </w:rPr>
        <w:t xml:space="preserve">persons </w:t>
      </w:r>
      <w:r w:rsidR="007D443F">
        <w:rPr>
          <w:rFonts w:ascii="Times New Roman" w:hAnsi="Times New Roman" w:cs="Times New Roman"/>
        </w:rPr>
        <w:t>to their ho</w:t>
      </w:r>
      <w:r w:rsidR="009A190B">
        <w:rPr>
          <w:rFonts w:ascii="Times New Roman" w:hAnsi="Times New Roman" w:cs="Times New Roman"/>
        </w:rPr>
        <w:t>mes and rebuild</w:t>
      </w:r>
      <w:r w:rsidR="007D443F">
        <w:rPr>
          <w:rFonts w:ascii="Times New Roman" w:hAnsi="Times New Roman" w:cs="Times New Roman"/>
        </w:rPr>
        <w:t xml:space="preserve">. </w:t>
      </w:r>
      <w:r w:rsidRPr="00DA2712">
        <w:rPr>
          <w:rFonts w:ascii="Times New Roman" w:hAnsi="Times New Roman" w:cs="Times New Roman"/>
        </w:rPr>
        <w:t>Noting that the impending fall of Mosul does not signify “Game Over” for European Union i</w:t>
      </w:r>
      <w:r w:rsidR="007D443F">
        <w:rPr>
          <w:rFonts w:ascii="Times New Roman" w:hAnsi="Times New Roman" w:cs="Times New Roman"/>
        </w:rPr>
        <w:t>nstitutions and member states, the</w:t>
      </w:r>
      <w:r w:rsidRPr="00DA2712">
        <w:rPr>
          <w:rFonts w:ascii="Times New Roman" w:hAnsi="Times New Roman" w:cs="Times New Roman"/>
        </w:rPr>
        <w:t xml:space="preserve"> conference developed seven major options for Europe and Iraqi authorities for the “Post-ISIS” phase of the conflict in Iraq. </w:t>
      </w:r>
      <w:r w:rsidR="007D443F">
        <w:rPr>
          <w:rFonts w:ascii="Times New Roman" w:hAnsi="Times New Roman" w:cs="Times New Roman"/>
        </w:rPr>
        <w:t xml:space="preserve">As Conference Keynoter </w:t>
      </w:r>
      <w:r w:rsidR="007D443F" w:rsidRPr="00BE5B1D">
        <w:rPr>
          <w:rFonts w:ascii="Times New Roman" w:hAnsi="Times New Roman" w:cs="Times New Roman"/>
          <w:b/>
          <w:bCs/>
        </w:rPr>
        <w:t>Adama Dieng</w:t>
      </w:r>
      <w:r w:rsidR="007D443F">
        <w:rPr>
          <w:rFonts w:ascii="Times New Roman" w:hAnsi="Times New Roman" w:cs="Times New Roman"/>
        </w:rPr>
        <w:t>, representing the UN Secretary General, noted “peace begins with peace of mind.”</w:t>
      </w:r>
    </w:p>
    <w:p w:rsidR="007D443F" w:rsidRDefault="007D443F" w:rsidP="00C73A52">
      <w:pPr>
        <w:jc w:val="both"/>
        <w:rPr>
          <w:rFonts w:ascii="Times New Roman" w:hAnsi="Times New Roman" w:cs="Times New Roman"/>
        </w:rPr>
      </w:pPr>
    </w:p>
    <w:p w:rsidR="00794EDD" w:rsidRPr="00DA2712" w:rsidRDefault="00DA2712" w:rsidP="00C73A52">
      <w:pPr>
        <w:jc w:val="both"/>
        <w:rPr>
          <w:rFonts w:ascii="Times New Roman" w:hAnsi="Times New Roman" w:cs="Times New Roman"/>
        </w:rPr>
      </w:pPr>
      <w:r w:rsidRPr="00DA2712">
        <w:rPr>
          <w:rFonts w:ascii="Times New Roman" w:hAnsi="Times New Roman" w:cs="Times New Roman"/>
        </w:rPr>
        <w:t>This conference</w:t>
      </w:r>
      <w:r w:rsidR="009A190B">
        <w:rPr>
          <w:rFonts w:ascii="Times New Roman" w:hAnsi="Times New Roman" w:cs="Times New Roman"/>
        </w:rPr>
        <w:t>,</w:t>
      </w:r>
      <w:r w:rsidRPr="00DA2712">
        <w:rPr>
          <w:rFonts w:ascii="Times New Roman" w:hAnsi="Times New Roman" w:cs="Times New Roman"/>
        </w:rPr>
        <w:t xml:space="preserve"> convened at the European Parliament</w:t>
      </w:r>
      <w:r w:rsidR="009A190B">
        <w:rPr>
          <w:rFonts w:ascii="Times New Roman" w:hAnsi="Times New Roman" w:cs="Times New Roman"/>
        </w:rPr>
        <w:t>,</w:t>
      </w:r>
      <w:r w:rsidRPr="00DA2712">
        <w:rPr>
          <w:rFonts w:ascii="Times New Roman" w:hAnsi="Times New Roman" w:cs="Times New Roman"/>
        </w:rPr>
        <w:t xml:space="preserve"> included senior representatives of the Iraqi government, the Kurdish Region, the United Nations, European Union institutions, Iraqi and European parliamentarians, and Iraqi and international civil society representatives.</w:t>
      </w:r>
    </w:p>
    <w:p w:rsidR="00DA2712" w:rsidRDefault="00DA2712" w:rsidP="00C73A52">
      <w:pPr>
        <w:jc w:val="both"/>
        <w:rPr>
          <w:rFonts w:ascii="Times New Roman" w:hAnsi="Times New Roman" w:cs="Times New Roman"/>
        </w:rPr>
      </w:pPr>
    </w:p>
    <w:p w:rsidR="00DA2712" w:rsidRPr="00DA2712" w:rsidRDefault="00493AFD" w:rsidP="00C73A52">
      <w:pPr>
        <w:jc w:val="both"/>
        <w:rPr>
          <w:rFonts w:ascii="Times New Roman" w:hAnsi="Times New Roman" w:cs="Times New Roman"/>
        </w:rPr>
      </w:pPr>
      <w:r>
        <w:rPr>
          <w:rFonts w:ascii="Times New Roman" w:hAnsi="Times New Roman" w:cs="Times New Roman"/>
        </w:rPr>
        <w:t xml:space="preserve">“We cannot wait. We have to start the process now,” noted Conference Co-Chair and MEP </w:t>
      </w:r>
      <w:r w:rsidRPr="00BE5B1D">
        <w:rPr>
          <w:rFonts w:ascii="Times New Roman" w:hAnsi="Times New Roman" w:cs="Times New Roman"/>
          <w:b/>
          <w:bCs/>
        </w:rPr>
        <w:t>Ana Gomes</w:t>
      </w:r>
      <w:r>
        <w:rPr>
          <w:rFonts w:ascii="Times New Roman" w:hAnsi="Times New Roman" w:cs="Times New Roman"/>
        </w:rPr>
        <w:t xml:space="preserve">. </w:t>
      </w:r>
      <w:r w:rsidR="00DA2712">
        <w:rPr>
          <w:rFonts w:ascii="Times New Roman" w:hAnsi="Times New Roman" w:cs="Times New Roman"/>
        </w:rPr>
        <w:t xml:space="preserve">In a chairman’s statement, </w:t>
      </w:r>
      <w:r>
        <w:rPr>
          <w:rFonts w:ascii="Times New Roman" w:hAnsi="Times New Roman" w:cs="Times New Roman"/>
        </w:rPr>
        <w:t xml:space="preserve">Gomes and her fellow co-chair MEP </w:t>
      </w:r>
      <w:r w:rsidRPr="00BE5B1D">
        <w:rPr>
          <w:rFonts w:ascii="Times New Roman" w:hAnsi="Times New Roman" w:cs="Times New Roman"/>
          <w:b/>
          <w:bCs/>
        </w:rPr>
        <w:t>Elmar Brok</w:t>
      </w:r>
      <w:r w:rsidR="007D443F">
        <w:rPr>
          <w:rFonts w:ascii="Times New Roman" w:hAnsi="Times New Roman" w:cs="Times New Roman"/>
        </w:rPr>
        <w:t xml:space="preserve"> identified seven main priorities</w:t>
      </w:r>
      <w:r w:rsidR="00DA2712" w:rsidRPr="00DA2712">
        <w:rPr>
          <w:rFonts w:ascii="Times New Roman" w:hAnsi="Times New Roman" w:cs="Times New Roman"/>
        </w:rPr>
        <w:t xml:space="preserve">:  </w:t>
      </w:r>
    </w:p>
    <w:p w:rsidR="00DA2712" w:rsidRDefault="00DA2712" w:rsidP="00C73A52">
      <w:pPr>
        <w:jc w:val="both"/>
        <w:rPr>
          <w:rFonts w:ascii="Times New Roman" w:hAnsi="Times New Roman" w:cs="Times New Roman"/>
          <w:i/>
        </w:rPr>
      </w:pPr>
    </w:p>
    <w:p w:rsidR="00DA2712" w:rsidRPr="00DA2712" w:rsidRDefault="00DA2712" w:rsidP="00C73A52">
      <w:pPr>
        <w:jc w:val="both"/>
        <w:rPr>
          <w:rFonts w:ascii="Times New Roman" w:hAnsi="Times New Roman" w:cs="Times New Roman"/>
        </w:rPr>
      </w:pPr>
      <w:r w:rsidRPr="00DA2712">
        <w:rPr>
          <w:rFonts w:ascii="Times New Roman" w:hAnsi="Times New Roman" w:cs="Times New Roman"/>
          <w:i/>
        </w:rPr>
        <w:t>1.  There is a clear need to ensure that returns to retaken areas are dignified, safe and voluntary.</w:t>
      </w:r>
      <w:r w:rsidR="007D443F">
        <w:rPr>
          <w:rFonts w:ascii="Times New Roman" w:hAnsi="Times New Roman" w:cs="Times New Roman"/>
        </w:rPr>
        <w:t xml:space="preserve"> Representatives present at the conference agreed</w:t>
      </w:r>
      <w:r w:rsidRPr="00DA2712">
        <w:rPr>
          <w:rFonts w:ascii="Times New Roman" w:hAnsi="Times New Roman" w:cs="Times New Roman"/>
        </w:rPr>
        <w:t xml:space="preserve"> to define</w:t>
      </w:r>
      <w:r w:rsidRPr="00DA2712">
        <w:rPr>
          <w:rFonts w:ascii="Times New Roman" w:hAnsi="Times New Roman" w:cs="Times New Roman"/>
          <w:shd w:val="clear" w:color="auto" w:fill="FFFFFF"/>
        </w:rPr>
        <w:t xml:space="preserve"> </w:t>
      </w:r>
      <w:r w:rsidRPr="00DA2712">
        <w:rPr>
          <w:rFonts w:ascii="Times New Roman" w:hAnsi="Times New Roman" w:cs="Times New Roman"/>
        </w:rPr>
        <w:t xml:space="preserve">security arrangements in affected areas, working to ensure that security forces are accepted by local populations, </w:t>
      </w:r>
      <w:r>
        <w:rPr>
          <w:rFonts w:ascii="Times New Roman" w:hAnsi="Times New Roman" w:cs="Times New Roman"/>
        </w:rPr>
        <w:t xml:space="preserve">affirming </w:t>
      </w:r>
      <w:r w:rsidRPr="00DA2712">
        <w:rPr>
          <w:rFonts w:ascii="Times New Roman" w:hAnsi="Times New Roman" w:cs="Times New Roman"/>
        </w:rPr>
        <w:t>that the people of retaken areas have the right to determine their political and security future</w:t>
      </w:r>
      <w:r>
        <w:rPr>
          <w:rFonts w:ascii="Times New Roman" w:hAnsi="Times New Roman" w:cs="Times New Roman"/>
        </w:rPr>
        <w:t>, and reintegrating Popular Mobilization Units into Iraqi security structures</w:t>
      </w:r>
      <w:r w:rsidRPr="00DA2712">
        <w:rPr>
          <w:rFonts w:ascii="Times New Roman" w:hAnsi="Times New Roman" w:cs="Times New Roman"/>
        </w:rPr>
        <w:t>.</w:t>
      </w:r>
    </w:p>
    <w:p w:rsidR="00DA2712" w:rsidRPr="00DA2712" w:rsidRDefault="00DA2712" w:rsidP="00C73A52">
      <w:pPr>
        <w:jc w:val="both"/>
        <w:rPr>
          <w:rFonts w:ascii="Times New Roman" w:hAnsi="Times New Roman" w:cs="Times New Roman"/>
        </w:rPr>
      </w:pPr>
      <w:r w:rsidRPr="00DA2712">
        <w:rPr>
          <w:rFonts w:ascii="Times New Roman" w:hAnsi="Times New Roman" w:cs="Times New Roman"/>
          <w:i/>
        </w:rPr>
        <w:t>2.  Ensure freedom of movement for people and relief and reconstruction assistance in retaken areas.</w:t>
      </w:r>
    </w:p>
    <w:p w:rsidR="00DA2712" w:rsidRDefault="00DA2712" w:rsidP="00C73A52">
      <w:pPr>
        <w:jc w:val="both"/>
        <w:rPr>
          <w:rFonts w:ascii="Times New Roman" w:hAnsi="Times New Roman" w:cs="Times New Roman"/>
        </w:rPr>
      </w:pPr>
      <w:r w:rsidRPr="00DA2712">
        <w:rPr>
          <w:rFonts w:ascii="Times New Roman" w:hAnsi="Times New Roman" w:cs="Times New Roman"/>
          <w:i/>
        </w:rPr>
        <w:t xml:space="preserve">3.  </w:t>
      </w:r>
      <w:r>
        <w:rPr>
          <w:rFonts w:ascii="Times New Roman" w:hAnsi="Times New Roman" w:cs="Times New Roman"/>
          <w:i/>
        </w:rPr>
        <w:t>Participants affirmed that a</w:t>
      </w:r>
      <w:r w:rsidRPr="00DA2712">
        <w:rPr>
          <w:rFonts w:ascii="Times New Roman" w:hAnsi="Times New Roman" w:cs="Times New Roman"/>
          <w:i/>
        </w:rPr>
        <w:t>ccountability for crimes is a critical part of the Post-ISIS era</w:t>
      </w:r>
      <w:r>
        <w:rPr>
          <w:rFonts w:ascii="Times New Roman" w:hAnsi="Times New Roman" w:cs="Times New Roman"/>
          <w:i/>
        </w:rPr>
        <w:t>.</w:t>
      </w:r>
      <w:r w:rsidRPr="00DA2712">
        <w:rPr>
          <w:rFonts w:ascii="Times New Roman" w:hAnsi="Times New Roman" w:cs="Times New Roman"/>
        </w:rPr>
        <w:t xml:space="preserve"> </w:t>
      </w:r>
      <w:r w:rsidR="007D443F">
        <w:rPr>
          <w:rFonts w:ascii="Times New Roman" w:hAnsi="Times New Roman" w:cs="Times New Roman"/>
        </w:rPr>
        <w:t xml:space="preserve"> </w:t>
      </w:r>
      <w:r>
        <w:rPr>
          <w:rFonts w:ascii="Times New Roman" w:hAnsi="Times New Roman" w:cs="Times New Roman"/>
        </w:rPr>
        <w:t xml:space="preserve">Iraqi government </w:t>
      </w:r>
      <w:r w:rsidR="007D443F">
        <w:rPr>
          <w:rFonts w:ascii="Times New Roman" w:hAnsi="Times New Roman" w:cs="Times New Roman"/>
        </w:rPr>
        <w:t xml:space="preserve">representatives (including the Kurdish Region) </w:t>
      </w:r>
      <w:r>
        <w:rPr>
          <w:rFonts w:ascii="Times New Roman" w:hAnsi="Times New Roman" w:cs="Times New Roman"/>
        </w:rPr>
        <w:t>recognized</w:t>
      </w:r>
      <w:r w:rsidRPr="00DA2712">
        <w:rPr>
          <w:rFonts w:ascii="Times New Roman" w:hAnsi="Times New Roman" w:cs="Times New Roman"/>
        </w:rPr>
        <w:t xml:space="preserve"> the need to develop a national strategy to address violations of international humanitarian and criminal law for all perpetrators, and identify appropriate international and domestic resources. </w:t>
      </w:r>
      <w:r w:rsidR="007D443F">
        <w:rPr>
          <w:rFonts w:ascii="Times New Roman" w:hAnsi="Times New Roman" w:cs="Times New Roman"/>
        </w:rPr>
        <w:t>Other organizations underscored the urgent need for commitments from Iraqi authorities on accountability</w:t>
      </w:r>
      <w:r w:rsidR="00E9415B" w:rsidRPr="00B66026">
        <w:rPr>
          <w:rFonts w:ascii="Times New Roman" w:hAnsi="Times New Roman" w:cs="Times New Roman"/>
        </w:rPr>
        <w:t>, including accepting the jurisdiction of the International Criminal</w:t>
      </w:r>
      <w:r w:rsidR="00E9415B">
        <w:rPr>
          <w:rFonts w:ascii="Calibri" w:hAnsi="Calibri"/>
          <w:sz w:val="22"/>
          <w:szCs w:val="22"/>
        </w:rPr>
        <w:t xml:space="preserve"> Court</w:t>
      </w:r>
      <w:r w:rsidR="007D443F">
        <w:rPr>
          <w:rFonts w:ascii="Times New Roman" w:hAnsi="Times New Roman" w:cs="Times New Roman"/>
        </w:rPr>
        <w:t>.</w:t>
      </w:r>
      <w:r w:rsidRPr="00DA2712">
        <w:rPr>
          <w:rFonts w:ascii="Times New Roman" w:hAnsi="Times New Roman" w:cs="Times New Roman"/>
        </w:rPr>
        <w:t xml:space="preserve"> Because ISIS is a global phenomenon that requires a global response, the United Nations should also have a leading role.  </w:t>
      </w:r>
      <w:r w:rsidR="007D443F">
        <w:rPr>
          <w:rFonts w:ascii="Times New Roman" w:hAnsi="Times New Roman" w:cs="Times New Roman"/>
        </w:rPr>
        <w:t>Participants</w:t>
      </w:r>
      <w:r>
        <w:rPr>
          <w:rFonts w:ascii="Times New Roman" w:hAnsi="Times New Roman" w:cs="Times New Roman"/>
        </w:rPr>
        <w:t xml:space="preserve"> called on t</w:t>
      </w:r>
      <w:r w:rsidRPr="00DA2712">
        <w:rPr>
          <w:rFonts w:ascii="Times New Roman" w:hAnsi="Times New Roman" w:cs="Times New Roman"/>
        </w:rPr>
        <w:t xml:space="preserve">he European Union </w:t>
      </w:r>
      <w:r>
        <w:rPr>
          <w:rFonts w:ascii="Times New Roman" w:hAnsi="Times New Roman" w:cs="Times New Roman"/>
        </w:rPr>
        <w:t>to</w:t>
      </w:r>
      <w:r w:rsidRPr="00DA2712">
        <w:rPr>
          <w:rFonts w:ascii="Times New Roman" w:hAnsi="Times New Roman" w:cs="Times New Roman"/>
        </w:rPr>
        <w:t xml:space="preserve"> ensure the funding and implementation of an accountability mechanism to collect, preserve and analyse </w:t>
      </w:r>
      <w:r w:rsidR="007D443F">
        <w:rPr>
          <w:rFonts w:ascii="Times New Roman" w:hAnsi="Times New Roman" w:cs="Times New Roman"/>
        </w:rPr>
        <w:t>evidence.</w:t>
      </w:r>
    </w:p>
    <w:p w:rsidR="00BE5B1D" w:rsidRPr="00DA2712" w:rsidRDefault="00BE5B1D" w:rsidP="00C73A52">
      <w:pPr>
        <w:jc w:val="both"/>
        <w:rPr>
          <w:rFonts w:ascii="Times New Roman" w:hAnsi="Times New Roman" w:cs="Times New Roman"/>
        </w:rPr>
      </w:pPr>
    </w:p>
    <w:p w:rsidR="00BE5B1D" w:rsidRDefault="00BE5B1D" w:rsidP="00C73A52">
      <w:pPr>
        <w:jc w:val="both"/>
        <w:rPr>
          <w:rFonts w:ascii="Times New Roman" w:hAnsi="Times New Roman" w:cs="Times New Roman"/>
          <w:i/>
        </w:rPr>
      </w:pPr>
    </w:p>
    <w:p w:rsidR="00BE5B1D" w:rsidRDefault="00BE5B1D" w:rsidP="00C73A52">
      <w:pPr>
        <w:jc w:val="both"/>
        <w:rPr>
          <w:rFonts w:ascii="Times New Roman" w:hAnsi="Times New Roman" w:cs="Times New Roman"/>
          <w:i/>
        </w:rPr>
      </w:pPr>
    </w:p>
    <w:p w:rsidR="00DA2712" w:rsidRPr="00DA2712" w:rsidRDefault="00DA2712" w:rsidP="00C73A52">
      <w:pPr>
        <w:jc w:val="both"/>
        <w:rPr>
          <w:rFonts w:ascii="Times New Roman" w:hAnsi="Times New Roman" w:cs="Times New Roman"/>
        </w:rPr>
      </w:pPr>
      <w:r w:rsidRPr="00DA2712">
        <w:rPr>
          <w:rFonts w:ascii="Times New Roman" w:hAnsi="Times New Roman" w:cs="Times New Roman"/>
          <w:i/>
        </w:rPr>
        <w:t>4.  Iraq will protect its diversity</w:t>
      </w:r>
      <w:r w:rsidRPr="00DA2712">
        <w:rPr>
          <w:rFonts w:ascii="Times New Roman" w:hAnsi="Times New Roman" w:cs="Times New Roman"/>
        </w:rPr>
        <w:t xml:space="preserve">.  </w:t>
      </w:r>
      <w:r>
        <w:rPr>
          <w:rFonts w:ascii="Times New Roman" w:hAnsi="Times New Roman" w:cs="Times New Roman"/>
        </w:rPr>
        <w:t xml:space="preserve">Iraqi authorities (including the Kurdish Region) at the meeting agreed to </w:t>
      </w:r>
      <w:r w:rsidRPr="00DA2712">
        <w:rPr>
          <w:rFonts w:ascii="Times New Roman" w:hAnsi="Times New Roman" w:cs="Times New Roman"/>
        </w:rPr>
        <w:t>respond to the needs of Iraq’s ethnic and religious minorities by promulgating and implementing legislation and take other measures to safeguard religious and other rights</w:t>
      </w:r>
      <w:r w:rsidR="007D443F">
        <w:rPr>
          <w:rFonts w:ascii="Times New Roman" w:hAnsi="Times New Roman" w:cs="Times New Roman"/>
        </w:rPr>
        <w:t xml:space="preserve"> and pursue decentralization</w:t>
      </w:r>
      <w:r w:rsidR="009A190B">
        <w:rPr>
          <w:rFonts w:ascii="Times New Roman" w:hAnsi="Times New Roman" w:cs="Times New Roman"/>
        </w:rPr>
        <w:t xml:space="preserve"> as necessary</w:t>
      </w:r>
      <w:r w:rsidRPr="00DA2712">
        <w:rPr>
          <w:rFonts w:ascii="Times New Roman" w:hAnsi="Times New Roman" w:cs="Times New Roman"/>
        </w:rPr>
        <w:t>.</w:t>
      </w:r>
    </w:p>
    <w:p w:rsidR="00DA2712" w:rsidRPr="00DA2712" w:rsidRDefault="00DA2712" w:rsidP="00C73A52">
      <w:pPr>
        <w:jc w:val="both"/>
        <w:rPr>
          <w:rFonts w:ascii="Times New Roman" w:hAnsi="Times New Roman" w:cs="Times New Roman"/>
        </w:rPr>
      </w:pPr>
      <w:r w:rsidRPr="00DA2712">
        <w:rPr>
          <w:rFonts w:ascii="Times New Roman" w:hAnsi="Times New Roman" w:cs="Times New Roman"/>
          <w:i/>
        </w:rPr>
        <w:t>5. Responding to the humanitarian crisis is an immediate priority.</w:t>
      </w:r>
      <w:r w:rsidRPr="00DA2712">
        <w:rPr>
          <w:rFonts w:ascii="Times New Roman" w:hAnsi="Times New Roman" w:cs="Times New Roman"/>
        </w:rPr>
        <w:t xml:space="preserve">  On an urgent basis, </w:t>
      </w:r>
      <w:r>
        <w:rPr>
          <w:rFonts w:ascii="Times New Roman" w:hAnsi="Times New Roman" w:cs="Times New Roman"/>
        </w:rPr>
        <w:t>participants called</w:t>
      </w:r>
      <w:r w:rsidRPr="00DA2712">
        <w:rPr>
          <w:rFonts w:ascii="Times New Roman" w:hAnsi="Times New Roman" w:cs="Times New Roman"/>
        </w:rPr>
        <w:t xml:space="preserve"> on Iraq</w:t>
      </w:r>
      <w:r w:rsidR="00493AFD">
        <w:rPr>
          <w:rFonts w:ascii="Times New Roman" w:hAnsi="Times New Roman" w:cs="Times New Roman"/>
        </w:rPr>
        <w:t>i authorities (including the Kurdish Region</w:t>
      </w:r>
      <w:r w:rsidRPr="00DA2712">
        <w:rPr>
          <w:rFonts w:ascii="Times New Roman" w:hAnsi="Times New Roman" w:cs="Times New Roman"/>
        </w:rPr>
        <w:t xml:space="preserve">) to provide life-saving assistance to all persons in need and call upon donors to fully fund the Humanitarian Response Plan prepared by the UN and its partners. </w:t>
      </w:r>
    </w:p>
    <w:p w:rsidR="00DA2712" w:rsidRPr="00DA2712" w:rsidRDefault="00DA2712" w:rsidP="00C73A52">
      <w:pPr>
        <w:jc w:val="both"/>
        <w:rPr>
          <w:rFonts w:ascii="Times New Roman" w:hAnsi="Times New Roman" w:cs="Times New Roman"/>
        </w:rPr>
      </w:pPr>
      <w:r w:rsidRPr="00DA2712">
        <w:rPr>
          <w:rFonts w:ascii="Times New Roman" w:hAnsi="Times New Roman" w:cs="Times New Roman"/>
          <w:i/>
        </w:rPr>
        <w:t>6. Reconstruction should be accelerated where possible.</w:t>
      </w:r>
      <w:r w:rsidRPr="00DA2712">
        <w:rPr>
          <w:rFonts w:ascii="Times New Roman" w:hAnsi="Times New Roman" w:cs="Times New Roman"/>
        </w:rPr>
        <w:t xml:space="preserve"> </w:t>
      </w:r>
    </w:p>
    <w:p w:rsidR="00DA2712" w:rsidRDefault="00DA2712" w:rsidP="00C73A52">
      <w:pPr>
        <w:jc w:val="both"/>
        <w:rPr>
          <w:rFonts w:ascii="Times New Roman" w:hAnsi="Times New Roman" w:cs="Times New Roman"/>
        </w:rPr>
      </w:pPr>
      <w:r w:rsidRPr="00DA2712">
        <w:rPr>
          <w:rFonts w:ascii="Times New Roman" w:hAnsi="Times New Roman" w:cs="Times New Roman"/>
          <w:i/>
        </w:rPr>
        <w:t>7. Efforts should be focused on protecting the most vulnerable</w:t>
      </w:r>
      <w:r w:rsidRPr="00DA2712">
        <w:rPr>
          <w:rFonts w:ascii="Times New Roman" w:hAnsi="Times New Roman" w:cs="Times New Roman"/>
        </w:rPr>
        <w:t xml:space="preserve">.  </w:t>
      </w:r>
      <w:r>
        <w:rPr>
          <w:rFonts w:ascii="Times New Roman" w:hAnsi="Times New Roman" w:cs="Times New Roman"/>
        </w:rPr>
        <w:t xml:space="preserve">Participants called on Iraqi authorities, EU </w:t>
      </w:r>
      <w:r w:rsidRPr="00DA2712">
        <w:rPr>
          <w:rFonts w:ascii="Times New Roman" w:hAnsi="Times New Roman" w:cs="Times New Roman"/>
        </w:rPr>
        <w:t>institutions and member states to prioritize humanitarian and reconstruction assistance for those most vulnerable, including minority groups, women and children based on assessed needs</w:t>
      </w:r>
      <w:r>
        <w:rPr>
          <w:rFonts w:ascii="Times New Roman" w:hAnsi="Times New Roman" w:cs="Times New Roman"/>
        </w:rPr>
        <w:t>.</w:t>
      </w:r>
    </w:p>
    <w:p w:rsidR="00DA2712" w:rsidRPr="00DA2712" w:rsidRDefault="00DA2712" w:rsidP="00C73A52">
      <w:pPr>
        <w:jc w:val="both"/>
        <w:rPr>
          <w:rFonts w:ascii="Times New Roman" w:hAnsi="Times New Roman" w:cs="Times New Roman"/>
        </w:rPr>
      </w:pPr>
    </w:p>
    <w:p w:rsidR="00DA2712" w:rsidRDefault="00DA2712" w:rsidP="00C73A52">
      <w:pPr>
        <w:jc w:val="both"/>
        <w:rPr>
          <w:rFonts w:ascii="Times New Roman" w:hAnsi="Times New Roman" w:cs="Times New Roman"/>
        </w:rPr>
      </w:pPr>
      <w:r>
        <w:rPr>
          <w:rFonts w:ascii="Times New Roman" w:hAnsi="Times New Roman" w:cs="Times New Roman"/>
        </w:rPr>
        <w:t xml:space="preserve">The conference </w:t>
      </w:r>
      <w:r w:rsidR="00E9415B">
        <w:rPr>
          <w:rFonts w:ascii="Times New Roman" w:hAnsi="Times New Roman" w:cs="Times New Roman"/>
        </w:rPr>
        <w:t xml:space="preserve">chairs </w:t>
      </w:r>
      <w:r>
        <w:rPr>
          <w:rFonts w:ascii="Times New Roman" w:hAnsi="Times New Roman" w:cs="Times New Roman"/>
        </w:rPr>
        <w:t xml:space="preserve">concluded </w:t>
      </w:r>
      <w:r w:rsidR="00E20103">
        <w:rPr>
          <w:rFonts w:ascii="Times New Roman" w:hAnsi="Times New Roman" w:cs="Times New Roman"/>
        </w:rPr>
        <w:t xml:space="preserve">that </w:t>
      </w:r>
      <w:r w:rsidRPr="00DA2712">
        <w:rPr>
          <w:rFonts w:ascii="Times New Roman" w:hAnsi="Times New Roman" w:cs="Times New Roman"/>
        </w:rPr>
        <w:t xml:space="preserve">European Union </w:t>
      </w:r>
      <w:r w:rsidR="004304AD">
        <w:rPr>
          <w:rFonts w:ascii="Times New Roman" w:hAnsi="Times New Roman" w:cs="Times New Roman"/>
        </w:rPr>
        <w:t xml:space="preserve">diplomacy, </w:t>
      </w:r>
      <w:r w:rsidRPr="00DA2712">
        <w:rPr>
          <w:rFonts w:ascii="Times New Roman" w:hAnsi="Times New Roman" w:cs="Times New Roman"/>
        </w:rPr>
        <w:t xml:space="preserve">mechanisms and resources should be </w:t>
      </w:r>
      <w:r w:rsidR="00E20103">
        <w:rPr>
          <w:rFonts w:ascii="Times New Roman" w:hAnsi="Times New Roman" w:cs="Times New Roman"/>
        </w:rPr>
        <w:t>better channe</w:t>
      </w:r>
      <w:r w:rsidRPr="00DA2712">
        <w:rPr>
          <w:rFonts w:ascii="Times New Roman" w:hAnsi="Times New Roman" w:cs="Times New Roman"/>
        </w:rPr>
        <w:t xml:space="preserve">led to support implementation of these recommendations. </w:t>
      </w:r>
      <w:r w:rsidR="009A190B">
        <w:rPr>
          <w:rFonts w:ascii="Times New Roman" w:hAnsi="Times New Roman" w:cs="Times New Roman"/>
        </w:rPr>
        <w:t>The full statement can be downloaded at</w:t>
      </w:r>
      <w:r w:rsidR="00C73A52">
        <w:rPr>
          <w:rFonts w:ascii="Times New Roman" w:hAnsi="Times New Roman" w:cs="Times New Roman"/>
        </w:rPr>
        <w:t xml:space="preserve"> </w:t>
      </w:r>
      <w:hyperlink r:id="rId9" w:history="1">
        <w:r w:rsidR="00C73A52" w:rsidRPr="008B22F3">
          <w:rPr>
            <w:rStyle w:val="Hyperlink"/>
            <w:rFonts w:ascii="Times New Roman" w:hAnsi="Times New Roman" w:cs="Times New Roman"/>
          </w:rPr>
          <w:t>http://tinyurl.com/StatementoftheChair</w:t>
        </w:r>
      </w:hyperlink>
      <w:r w:rsidR="009A190B">
        <w:rPr>
          <w:rFonts w:ascii="Times New Roman" w:hAnsi="Times New Roman" w:cs="Times New Roman"/>
        </w:rPr>
        <w:t>.</w:t>
      </w:r>
    </w:p>
    <w:p w:rsidR="00DA2712" w:rsidRPr="00DA2712" w:rsidRDefault="00DA2712" w:rsidP="00C73A52">
      <w:pPr>
        <w:jc w:val="both"/>
        <w:rPr>
          <w:rFonts w:ascii="Times New Roman" w:hAnsi="Times New Roman" w:cs="Times New Roman"/>
        </w:rPr>
      </w:pPr>
    </w:p>
    <w:p w:rsidR="00E20103" w:rsidRDefault="00E9415B" w:rsidP="00C73A52">
      <w:pPr>
        <w:jc w:val="both"/>
        <w:rPr>
          <w:rFonts w:ascii="Times New Roman" w:hAnsi="Times New Roman" w:cs="Times New Roman"/>
        </w:rPr>
      </w:pPr>
      <w:r>
        <w:rPr>
          <w:rFonts w:ascii="Times New Roman" w:hAnsi="Times New Roman" w:cs="Times New Roman"/>
        </w:rPr>
        <w:t>T</w:t>
      </w:r>
      <w:r w:rsidR="00E20103" w:rsidRPr="00DA2712">
        <w:rPr>
          <w:rFonts w:ascii="Times New Roman" w:hAnsi="Times New Roman" w:cs="Times New Roman"/>
        </w:rPr>
        <w:t xml:space="preserve">he conference took place to coincide with the </w:t>
      </w:r>
      <w:r w:rsidR="00FA0072">
        <w:rPr>
          <w:rFonts w:ascii="Times New Roman" w:hAnsi="Times New Roman" w:cs="Times New Roman"/>
        </w:rPr>
        <w:t xml:space="preserve">impending </w:t>
      </w:r>
      <w:r w:rsidR="00E20103" w:rsidRPr="00DA2712">
        <w:rPr>
          <w:rFonts w:ascii="Times New Roman" w:hAnsi="Times New Roman" w:cs="Times New Roman"/>
        </w:rPr>
        <w:t>liberation of Mosul</w:t>
      </w:r>
      <w:r w:rsidR="004304AD">
        <w:rPr>
          <w:rFonts w:ascii="Times New Roman" w:hAnsi="Times New Roman" w:cs="Times New Roman"/>
        </w:rPr>
        <w:t>, and was designed</w:t>
      </w:r>
      <w:r w:rsidR="00E20103">
        <w:rPr>
          <w:rFonts w:ascii="Times New Roman" w:hAnsi="Times New Roman" w:cs="Times New Roman"/>
        </w:rPr>
        <w:t xml:space="preserve"> to follow up </w:t>
      </w:r>
      <w:r w:rsidR="00E20103" w:rsidRPr="00DA2712">
        <w:rPr>
          <w:rFonts w:ascii="Times New Roman" w:hAnsi="Times New Roman" w:cs="Times New Roman"/>
        </w:rPr>
        <w:t xml:space="preserve">the </w:t>
      </w:r>
      <w:r w:rsidR="004304AD">
        <w:rPr>
          <w:rFonts w:ascii="Times New Roman" w:hAnsi="Times New Roman" w:cs="Times New Roman"/>
        </w:rPr>
        <w:t>Paris Action Plan presented of</w:t>
      </w:r>
      <w:r w:rsidR="00E20103" w:rsidRPr="00DA2712">
        <w:rPr>
          <w:rFonts w:ascii="Times New Roman" w:hAnsi="Times New Roman" w:cs="Times New Roman"/>
        </w:rPr>
        <w:t xml:space="preserve"> September 2015 at the International Conference on the Victims of Ethnic and Religious Violence in the Middle East convened in Paris</w:t>
      </w:r>
      <w:r w:rsidR="00E20103">
        <w:rPr>
          <w:rFonts w:ascii="Times New Roman" w:hAnsi="Times New Roman" w:cs="Times New Roman"/>
        </w:rPr>
        <w:t>, and its Madrid follow up meeting, held on 24 May</w:t>
      </w:r>
      <w:r w:rsidR="009A190B">
        <w:rPr>
          <w:rFonts w:ascii="Times New Roman" w:hAnsi="Times New Roman" w:cs="Times New Roman"/>
        </w:rPr>
        <w:t xml:space="preserve"> 2017</w:t>
      </w:r>
      <w:r w:rsidR="00E20103" w:rsidRPr="00DA2712">
        <w:rPr>
          <w:rFonts w:ascii="Times New Roman" w:hAnsi="Times New Roman" w:cs="Times New Roman"/>
        </w:rPr>
        <w:t>.</w:t>
      </w:r>
    </w:p>
    <w:p w:rsidR="009A190B" w:rsidRDefault="009A190B" w:rsidP="00C73A52">
      <w:pPr>
        <w:jc w:val="both"/>
        <w:rPr>
          <w:rFonts w:ascii="Times New Roman" w:hAnsi="Times New Roman" w:cs="Times New Roman"/>
        </w:rPr>
      </w:pPr>
    </w:p>
    <w:p w:rsidR="009A190B" w:rsidRDefault="009A190B" w:rsidP="00C73A52">
      <w:pPr>
        <w:jc w:val="both"/>
        <w:rPr>
          <w:rFonts w:ascii="Times New Roman" w:hAnsi="Times New Roman" w:cs="Times New Roman"/>
        </w:rPr>
      </w:pPr>
      <w:r>
        <w:rPr>
          <w:rFonts w:ascii="Times New Roman" w:hAnsi="Times New Roman" w:cs="Times New Roman"/>
        </w:rPr>
        <w:t xml:space="preserve">“This conference was convened on the third anniversary of the fall of Mosul, and sadly over the past three years there has not been systematic, open discussion of options to enable returns and rebuild in the Post-ISIS era,” said Institute for International Law and Human Rights Executive Director </w:t>
      </w:r>
      <w:r w:rsidRPr="00B66026">
        <w:rPr>
          <w:rFonts w:ascii="Times New Roman" w:hAnsi="Times New Roman" w:cs="Times New Roman"/>
          <w:b/>
          <w:bCs/>
        </w:rPr>
        <w:t>William Spence Spencer</w:t>
      </w:r>
      <w:r>
        <w:rPr>
          <w:rFonts w:ascii="Times New Roman" w:hAnsi="Times New Roman" w:cs="Times New Roman"/>
        </w:rPr>
        <w:t>. “As a result, some minority groups fear t</w:t>
      </w:r>
      <w:r w:rsidR="004304AD">
        <w:rPr>
          <w:rFonts w:ascii="Times New Roman" w:hAnsi="Times New Roman" w:cs="Times New Roman"/>
        </w:rPr>
        <w:t>he peace even more than the war.  And we must allay these fears immediately.</w:t>
      </w:r>
      <w:r>
        <w:rPr>
          <w:rFonts w:ascii="Times New Roman" w:hAnsi="Times New Roman" w:cs="Times New Roman"/>
        </w:rPr>
        <w:t>”</w:t>
      </w:r>
    </w:p>
    <w:p w:rsidR="00DA2712" w:rsidRPr="00DA2712" w:rsidRDefault="00DA2712" w:rsidP="00C73A52">
      <w:pPr>
        <w:widowControl w:val="0"/>
        <w:autoSpaceDE w:val="0"/>
        <w:autoSpaceDN w:val="0"/>
        <w:adjustRightInd w:val="0"/>
        <w:jc w:val="both"/>
        <w:rPr>
          <w:rFonts w:ascii="Times New Roman" w:hAnsi="Times New Roman" w:cs="Times New Roman"/>
          <w:b/>
        </w:rPr>
      </w:pPr>
    </w:p>
    <w:p w:rsidR="00794EDD" w:rsidRPr="00DA2712" w:rsidRDefault="00E20103" w:rsidP="00BE5B1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Conference was organized by </w:t>
      </w:r>
      <w:r w:rsidR="00794EDD" w:rsidRPr="00DA2712">
        <w:rPr>
          <w:rFonts w:ascii="Times New Roman" w:hAnsi="Times New Roman" w:cs="Times New Roman"/>
        </w:rPr>
        <w:t xml:space="preserve">the </w:t>
      </w:r>
      <w:r w:rsidR="00794EDD" w:rsidRPr="00BE5B1D">
        <w:rPr>
          <w:rFonts w:ascii="Times New Roman" w:hAnsi="Times New Roman" w:cs="Times New Roman"/>
          <w:b/>
          <w:bCs/>
        </w:rPr>
        <w:t>Institute for International Law and Huma</w:t>
      </w:r>
      <w:r w:rsidR="00DA2712" w:rsidRPr="00BE5B1D">
        <w:rPr>
          <w:rFonts w:ascii="Times New Roman" w:hAnsi="Times New Roman" w:cs="Times New Roman"/>
          <w:b/>
          <w:bCs/>
        </w:rPr>
        <w:t>n Rights</w:t>
      </w:r>
      <w:r w:rsidR="00DA2712" w:rsidRPr="00DA2712">
        <w:rPr>
          <w:rFonts w:ascii="Times New Roman" w:hAnsi="Times New Roman" w:cs="Times New Roman"/>
        </w:rPr>
        <w:t xml:space="preserve">, </w:t>
      </w:r>
      <w:r w:rsidR="00DA2712" w:rsidRPr="00BE5B1D">
        <w:rPr>
          <w:rFonts w:ascii="Times New Roman" w:hAnsi="Times New Roman" w:cs="Times New Roman"/>
          <w:b/>
          <w:bCs/>
        </w:rPr>
        <w:t xml:space="preserve">Minority Rights Group </w:t>
      </w:r>
      <w:r w:rsidR="00794EDD" w:rsidRPr="00BE5B1D">
        <w:rPr>
          <w:rFonts w:ascii="Times New Roman" w:hAnsi="Times New Roman" w:cs="Times New Roman"/>
          <w:b/>
          <w:bCs/>
        </w:rPr>
        <w:t>International</w:t>
      </w:r>
      <w:r w:rsidR="00794EDD" w:rsidRPr="00DA2712">
        <w:rPr>
          <w:rFonts w:ascii="Times New Roman" w:hAnsi="Times New Roman" w:cs="Times New Roman"/>
        </w:rPr>
        <w:t xml:space="preserve">, </w:t>
      </w:r>
      <w:r w:rsidR="00794EDD" w:rsidRPr="00BE5B1D">
        <w:rPr>
          <w:rFonts w:ascii="Times New Roman" w:hAnsi="Times New Roman" w:cs="Times New Roman"/>
          <w:b/>
          <w:bCs/>
        </w:rPr>
        <w:t>No Peace Without Justice</w:t>
      </w:r>
      <w:r w:rsidR="00BE5B1D">
        <w:rPr>
          <w:rFonts w:ascii="Times New Roman" w:hAnsi="Times New Roman" w:cs="Times New Roman"/>
        </w:rPr>
        <w:t>,</w:t>
      </w:r>
      <w:r w:rsidR="00794EDD" w:rsidRPr="00DA2712">
        <w:rPr>
          <w:rFonts w:ascii="Times New Roman" w:hAnsi="Times New Roman" w:cs="Times New Roman"/>
        </w:rPr>
        <w:t xml:space="preserve"> the </w:t>
      </w:r>
      <w:r w:rsidR="00794EDD" w:rsidRPr="00BE5B1D">
        <w:rPr>
          <w:rFonts w:ascii="Times New Roman" w:hAnsi="Times New Roman" w:cs="Times New Roman"/>
          <w:b/>
          <w:bCs/>
        </w:rPr>
        <w:t>Unrepresented Nations and Peoples Organization</w:t>
      </w:r>
      <w:r w:rsidR="004304AD">
        <w:rPr>
          <w:rFonts w:ascii="Times New Roman" w:hAnsi="Times New Roman" w:cs="Times New Roman"/>
        </w:rPr>
        <w:t xml:space="preserve">, and the </w:t>
      </w:r>
      <w:r w:rsidR="004304AD" w:rsidRPr="00BE5B1D">
        <w:rPr>
          <w:rFonts w:ascii="Times New Roman" w:hAnsi="Times New Roman" w:cs="Times New Roman"/>
          <w:b/>
          <w:bCs/>
        </w:rPr>
        <w:t>Konrad Adenauer Stiftung</w:t>
      </w:r>
      <w:r w:rsidR="00794EDD" w:rsidRPr="00DA2712">
        <w:rPr>
          <w:rFonts w:ascii="Times New Roman" w:hAnsi="Times New Roman" w:cs="Times New Roman"/>
        </w:rPr>
        <w:t>.</w:t>
      </w:r>
    </w:p>
    <w:p w:rsidR="005A30C1" w:rsidRPr="00DA2712" w:rsidRDefault="005A30C1" w:rsidP="00C73A52">
      <w:pPr>
        <w:jc w:val="both"/>
        <w:rPr>
          <w:rFonts w:ascii="Times New Roman" w:hAnsi="Times New Roman" w:cs="Times New Roman"/>
        </w:rPr>
      </w:pPr>
    </w:p>
    <w:p w:rsidR="00465964" w:rsidRPr="00DA2712" w:rsidRDefault="005A30C1" w:rsidP="006A5F19">
      <w:pPr>
        <w:jc w:val="center"/>
        <w:rPr>
          <w:rFonts w:ascii="Times New Roman" w:hAnsi="Times New Roman" w:cs="Times New Roman"/>
        </w:rPr>
      </w:pPr>
      <w:r w:rsidRPr="00DA2712">
        <w:rPr>
          <w:rFonts w:ascii="Times New Roman" w:hAnsi="Times New Roman" w:cs="Times New Roman"/>
        </w:rPr>
        <w:t>###</w:t>
      </w:r>
    </w:p>
    <w:sectPr w:rsidR="00465964" w:rsidRPr="00DA2712" w:rsidSect="002E2B47">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87" w:rsidRDefault="006D0387" w:rsidP="00465964">
      <w:r>
        <w:separator/>
      </w:r>
    </w:p>
  </w:endnote>
  <w:endnote w:type="continuationSeparator" w:id="0">
    <w:p w:rsidR="006D0387" w:rsidRDefault="006D0387" w:rsidP="00465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87" w:rsidRDefault="006D0387" w:rsidP="00465964">
      <w:r>
        <w:separator/>
      </w:r>
    </w:p>
  </w:footnote>
  <w:footnote w:type="continuationSeparator" w:id="0">
    <w:p w:rsidR="006D0387" w:rsidRDefault="006D0387" w:rsidP="00465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Look w:val="04A0"/>
    </w:tblPr>
    <w:tblGrid>
      <w:gridCol w:w="1522"/>
      <w:gridCol w:w="2200"/>
      <w:gridCol w:w="2316"/>
      <w:gridCol w:w="2766"/>
      <w:gridCol w:w="1544"/>
    </w:tblGrid>
    <w:tr w:rsidR="00493AFD" w:rsidRPr="00B66026" w:rsidTr="00465964">
      <w:tc>
        <w:tcPr>
          <w:tcW w:w="1556" w:type="dxa"/>
          <w:shd w:val="clear" w:color="auto" w:fill="auto"/>
        </w:tcPr>
        <w:p w:rsidR="00493AFD" w:rsidRPr="00B66026" w:rsidRDefault="00947FE8" w:rsidP="00465964">
          <w:pPr>
            <w:pStyle w:val="Footer"/>
            <w:jc w:val="center"/>
          </w:pPr>
          <w:r>
            <w:rPr>
              <w:noProof/>
              <w:lang w:val="en-GB" w:eastAsia="en-GB"/>
            </w:rPr>
            <w:drawing>
              <wp:inline distT="0" distB="0" distL="0" distR="0">
                <wp:extent cx="742315" cy="570230"/>
                <wp:effectExtent l="19050" t="0" r="635" b="0"/>
                <wp:docPr id="1" name="Picture 1" descr="IILHR log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LHR logo seal"/>
                        <pic:cNvPicPr>
                          <a:picLocks noChangeAspect="1" noChangeArrowheads="1"/>
                        </pic:cNvPicPr>
                      </pic:nvPicPr>
                      <pic:blipFill>
                        <a:blip r:embed="rId1"/>
                        <a:srcRect/>
                        <a:stretch>
                          <a:fillRect/>
                        </a:stretch>
                      </pic:blipFill>
                      <pic:spPr bwMode="auto">
                        <a:xfrm>
                          <a:off x="0" y="0"/>
                          <a:ext cx="742315" cy="570230"/>
                        </a:xfrm>
                        <a:prstGeom prst="rect">
                          <a:avLst/>
                        </a:prstGeom>
                        <a:noFill/>
                        <a:ln w="9525">
                          <a:noFill/>
                          <a:miter lim="800000"/>
                          <a:headEnd/>
                          <a:tailEnd/>
                        </a:ln>
                      </pic:spPr>
                    </pic:pic>
                  </a:graphicData>
                </a:graphic>
              </wp:inline>
            </w:drawing>
          </w:r>
        </w:p>
      </w:tc>
      <w:tc>
        <w:tcPr>
          <w:tcW w:w="2166" w:type="dxa"/>
          <w:shd w:val="clear" w:color="auto" w:fill="auto"/>
        </w:tcPr>
        <w:p w:rsidR="00493AFD" w:rsidRPr="00B66026" w:rsidRDefault="00493AFD" w:rsidP="00465964">
          <w:pPr>
            <w:pStyle w:val="Footer"/>
            <w:rPr>
              <w:sz w:val="10"/>
              <w:szCs w:val="10"/>
            </w:rPr>
          </w:pPr>
        </w:p>
        <w:p w:rsidR="00493AFD" w:rsidRPr="00B66026" w:rsidRDefault="00947FE8" w:rsidP="00465964">
          <w:pPr>
            <w:pStyle w:val="Footer"/>
          </w:pPr>
          <w:r>
            <w:rPr>
              <w:noProof/>
              <w:lang w:val="en-GB" w:eastAsia="en-GB"/>
            </w:rPr>
            <w:drawing>
              <wp:inline distT="0" distB="0" distL="0" distR="0">
                <wp:extent cx="1240790" cy="540385"/>
                <wp:effectExtent l="19050" t="0" r="0" b="0"/>
                <wp:docPr id="2" name="Picture 2" descr="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
                        <pic:cNvPicPr>
                          <a:picLocks noChangeAspect="1" noChangeArrowheads="1"/>
                        </pic:cNvPicPr>
                      </pic:nvPicPr>
                      <pic:blipFill>
                        <a:blip r:embed="rId2"/>
                        <a:srcRect/>
                        <a:stretch>
                          <a:fillRect/>
                        </a:stretch>
                      </pic:blipFill>
                      <pic:spPr bwMode="auto">
                        <a:xfrm>
                          <a:off x="0" y="0"/>
                          <a:ext cx="1240790" cy="540385"/>
                        </a:xfrm>
                        <a:prstGeom prst="rect">
                          <a:avLst/>
                        </a:prstGeom>
                        <a:noFill/>
                        <a:ln w="9525">
                          <a:noFill/>
                          <a:miter lim="800000"/>
                          <a:headEnd/>
                          <a:tailEnd/>
                        </a:ln>
                      </pic:spPr>
                    </pic:pic>
                  </a:graphicData>
                </a:graphic>
              </wp:inline>
            </w:drawing>
          </w:r>
        </w:p>
      </w:tc>
      <w:tc>
        <w:tcPr>
          <w:tcW w:w="2279" w:type="dxa"/>
          <w:shd w:val="clear" w:color="auto" w:fill="auto"/>
        </w:tcPr>
        <w:p w:rsidR="00493AFD" w:rsidRPr="00B66026" w:rsidRDefault="00947FE8" w:rsidP="00465964">
          <w:pPr>
            <w:pStyle w:val="Footer"/>
          </w:pPr>
          <w:r>
            <w:rPr>
              <w:noProof/>
              <w:lang w:val="en-GB" w:eastAsia="en-GB"/>
            </w:rPr>
            <w:drawing>
              <wp:inline distT="0" distB="0" distL="0" distR="0">
                <wp:extent cx="1311910" cy="682625"/>
                <wp:effectExtent l="19050" t="0" r="2540" b="0"/>
                <wp:docPr id="3" name="Picture 3" descr="LogoWithNameEN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ithNameEN_highres"/>
                        <pic:cNvPicPr>
                          <a:picLocks noChangeAspect="1" noChangeArrowheads="1"/>
                        </pic:cNvPicPr>
                      </pic:nvPicPr>
                      <pic:blipFill>
                        <a:blip r:embed="rId3"/>
                        <a:srcRect/>
                        <a:stretch>
                          <a:fillRect/>
                        </a:stretch>
                      </pic:blipFill>
                      <pic:spPr bwMode="auto">
                        <a:xfrm>
                          <a:off x="0" y="0"/>
                          <a:ext cx="1311910" cy="682625"/>
                        </a:xfrm>
                        <a:prstGeom prst="rect">
                          <a:avLst/>
                        </a:prstGeom>
                        <a:noFill/>
                        <a:ln w="9525">
                          <a:noFill/>
                          <a:miter lim="800000"/>
                          <a:headEnd/>
                          <a:tailEnd/>
                        </a:ln>
                      </pic:spPr>
                    </pic:pic>
                  </a:graphicData>
                </a:graphic>
              </wp:inline>
            </w:drawing>
          </w:r>
        </w:p>
      </w:tc>
      <w:tc>
        <w:tcPr>
          <w:tcW w:w="2719" w:type="dxa"/>
          <w:shd w:val="clear" w:color="auto" w:fill="auto"/>
        </w:tcPr>
        <w:p w:rsidR="00493AFD" w:rsidRPr="00B66026" w:rsidRDefault="00493AFD" w:rsidP="00465964">
          <w:pPr>
            <w:pStyle w:val="Footer"/>
            <w:rPr>
              <w:sz w:val="8"/>
              <w:szCs w:val="8"/>
            </w:rPr>
          </w:pPr>
        </w:p>
        <w:p w:rsidR="00493AFD" w:rsidRPr="00B66026" w:rsidRDefault="00947FE8" w:rsidP="00465964">
          <w:pPr>
            <w:pStyle w:val="Footer"/>
          </w:pPr>
          <w:r>
            <w:rPr>
              <w:noProof/>
              <w:lang w:val="en-GB" w:eastAsia="en-GB"/>
            </w:rPr>
            <w:drawing>
              <wp:inline distT="0" distB="0" distL="0" distR="0">
                <wp:extent cx="1591310" cy="540385"/>
                <wp:effectExtent l="19050" t="0" r="8890" b="0"/>
                <wp:docPr id="4" name="Picture 4" descr="UNPO letterhea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PO letterhead left"/>
                        <pic:cNvPicPr>
                          <a:picLocks noChangeAspect="1" noChangeArrowheads="1"/>
                        </pic:cNvPicPr>
                      </pic:nvPicPr>
                      <pic:blipFill>
                        <a:blip r:embed="rId4"/>
                        <a:srcRect/>
                        <a:stretch>
                          <a:fillRect/>
                        </a:stretch>
                      </pic:blipFill>
                      <pic:spPr bwMode="auto">
                        <a:xfrm>
                          <a:off x="0" y="0"/>
                          <a:ext cx="1591310" cy="540385"/>
                        </a:xfrm>
                        <a:prstGeom prst="rect">
                          <a:avLst/>
                        </a:prstGeom>
                        <a:noFill/>
                        <a:ln w="9525">
                          <a:noFill/>
                          <a:miter lim="800000"/>
                          <a:headEnd/>
                          <a:tailEnd/>
                        </a:ln>
                      </pic:spPr>
                    </pic:pic>
                  </a:graphicData>
                </a:graphic>
              </wp:inline>
            </w:drawing>
          </w:r>
        </w:p>
      </w:tc>
      <w:tc>
        <w:tcPr>
          <w:tcW w:w="1628" w:type="dxa"/>
          <w:shd w:val="clear" w:color="auto" w:fill="auto"/>
        </w:tcPr>
        <w:p w:rsidR="00493AFD" w:rsidRPr="00B66026" w:rsidRDefault="00947FE8" w:rsidP="00465964">
          <w:pPr>
            <w:pStyle w:val="Footer"/>
            <w:jc w:val="center"/>
          </w:pPr>
          <w:r>
            <w:rPr>
              <w:noProof/>
              <w:lang w:val="en-GB" w:eastAsia="en-GB"/>
            </w:rPr>
            <w:drawing>
              <wp:inline distT="0" distB="0" distL="0" distR="0">
                <wp:extent cx="653415" cy="653415"/>
                <wp:effectExtent l="19050" t="0" r="0" b="0"/>
                <wp:docPr id="5" name="Picture 5" descr="M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G"/>
                        <pic:cNvPicPr>
                          <a:picLocks noChangeAspect="1" noChangeArrowheads="1"/>
                        </pic:cNvPicPr>
                      </pic:nvPicPr>
                      <pic:blipFill>
                        <a:blip r:embed="rId5"/>
                        <a:srcRect/>
                        <a:stretch>
                          <a:fillRect/>
                        </a:stretch>
                      </pic:blipFill>
                      <pic:spPr bwMode="auto">
                        <a:xfrm>
                          <a:off x="0" y="0"/>
                          <a:ext cx="653415" cy="653415"/>
                        </a:xfrm>
                        <a:prstGeom prst="rect">
                          <a:avLst/>
                        </a:prstGeom>
                        <a:noFill/>
                        <a:ln w="9525">
                          <a:noFill/>
                          <a:miter lim="800000"/>
                          <a:headEnd/>
                          <a:tailEnd/>
                        </a:ln>
                      </pic:spPr>
                    </pic:pic>
                  </a:graphicData>
                </a:graphic>
              </wp:inline>
            </w:drawing>
          </w:r>
        </w:p>
      </w:tc>
    </w:tr>
  </w:tbl>
  <w:p w:rsidR="00493AFD" w:rsidRDefault="00493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6867"/>
    <w:multiLevelType w:val="hybridMultilevel"/>
    <w:tmpl w:val="FECE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914AD"/>
    <w:multiLevelType w:val="hybridMultilevel"/>
    <w:tmpl w:val="BD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239C3"/>
    <w:multiLevelType w:val="hybridMultilevel"/>
    <w:tmpl w:val="165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70A08"/>
    <w:multiLevelType w:val="hybridMultilevel"/>
    <w:tmpl w:val="228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4228A6"/>
    <w:rsid w:val="000852AD"/>
    <w:rsid w:val="000D1653"/>
    <w:rsid w:val="000F2089"/>
    <w:rsid w:val="001540D3"/>
    <w:rsid w:val="00183CF9"/>
    <w:rsid w:val="001E39FB"/>
    <w:rsid w:val="00294FF0"/>
    <w:rsid w:val="002A11BA"/>
    <w:rsid w:val="002E2B47"/>
    <w:rsid w:val="00372FEA"/>
    <w:rsid w:val="003B29CB"/>
    <w:rsid w:val="00406182"/>
    <w:rsid w:val="004131F5"/>
    <w:rsid w:val="004228A6"/>
    <w:rsid w:val="004304AD"/>
    <w:rsid w:val="00433389"/>
    <w:rsid w:val="00465964"/>
    <w:rsid w:val="00471953"/>
    <w:rsid w:val="00493AFD"/>
    <w:rsid w:val="005245A4"/>
    <w:rsid w:val="00573C31"/>
    <w:rsid w:val="005A30C1"/>
    <w:rsid w:val="005C5626"/>
    <w:rsid w:val="005D40CF"/>
    <w:rsid w:val="005E5188"/>
    <w:rsid w:val="005F58DF"/>
    <w:rsid w:val="00607BFF"/>
    <w:rsid w:val="00676E45"/>
    <w:rsid w:val="006A5F19"/>
    <w:rsid w:val="006D0387"/>
    <w:rsid w:val="007014F3"/>
    <w:rsid w:val="007253A6"/>
    <w:rsid w:val="00743666"/>
    <w:rsid w:val="00756405"/>
    <w:rsid w:val="00787540"/>
    <w:rsid w:val="00794EDD"/>
    <w:rsid w:val="007A3207"/>
    <w:rsid w:val="007B1A72"/>
    <w:rsid w:val="007D443F"/>
    <w:rsid w:val="008105BE"/>
    <w:rsid w:val="0082300B"/>
    <w:rsid w:val="008D3AF1"/>
    <w:rsid w:val="008E0176"/>
    <w:rsid w:val="00903292"/>
    <w:rsid w:val="009102E5"/>
    <w:rsid w:val="00944406"/>
    <w:rsid w:val="00947FE8"/>
    <w:rsid w:val="00954EEF"/>
    <w:rsid w:val="00967E8E"/>
    <w:rsid w:val="009A190B"/>
    <w:rsid w:val="009C2579"/>
    <w:rsid w:val="009E42AC"/>
    <w:rsid w:val="00A12142"/>
    <w:rsid w:val="00A47655"/>
    <w:rsid w:val="00A76818"/>
    <w:rsid w:val="00A92B4E"/>
    <w:rsid w:val="00AD2631"/>
    <w:rsid w:val="00B2486F"/>
    <w:rsid w:val="00B34049"/>
    <w:rsid w:val="00B52104"/>
    <w:rsid w:val="00B629E3"/>
    <w:rsid w:val="00B66026"/>
    <w:rsid w:val="00B761BD"/>
    <w:rsid w:val="00BE5B1D"/>
    <w:rsid w:val="00C52BEE"/>
    <w:rsid w:val="00C73A52"/>
    <w:rsid w:val="00CE4B69"/>
    <w:rsid w:val="00D12430"/>
    <w:rsid w:val="00D53EF8"/>
    <w:rsid w:val="00DA2712"/>
    <w:rsid w:val="00E14D96"/>
    <w:rsid w:val="00E20103"/>
    <w:rsid w:val="00E71382"/>
    <w:rsid w:val="00E748AE"/>
    <w:rsid w:val="00E9033A"/>
    <w:rsid w:val="00E9415B"/>
    <w:rsid w:val="00EA7443"/>
    <w:rsid w:val="00EF2464"/>
    <w:rsid w:val="00F30D30"/>
    <w:rsid w:val="00F7610D"/>
    <w:rsid w:val="00FA0072"/>
    <w:rsid w:val="00FA6E9D"/>
    <w:rsid w:val="00FD125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1BA"/>
    <w:rPr>
      <w:rFonts w:ascii="Lucida Grande" w:hAnsi="Lucida Grande" w:cs="Lucida Grande"/>
      <w:sz w:val="18"/>
      <w:szCs w:val="18"/>
    </w:rPr>
  </w:style>
  <w:style w:type="character" w:customStyle="1" w:styleId="BalloonTextChar">
    <w:name w:val="Balloon Text Char"/>
    <w:link w:val="BalloonText"/>
    <w:uiPriority w:val="99"/>
    <w:semiHidden/>
    <w:rsid w:val="002A11BA"/>
    <w:rPr>
      <w:rFonts w:ascii="Lucida Grande" w:hAnsi="Lucida Grande" w:cs="Lucida Grande"/>
      <w:sz w:val="18"/>
      <w:szCs w:val="18"/>
    </w:rPr>
  </w:style>
  <w:style w:type="paragraph" w:styleId="Header">
    <w:name w:val="header"/>
    <w:basedOn w:val="Normal"/>
    <w:link w:val="HeaderChar"/>
    <w:uiPriority w:val="99"/>
    <w:unhideWhenUsed/>
    <w:rsid w:val="00465964"/>
    <w:pPr>
      <w:tabs>
        <w:tab w:val="center" w:pos="4320"/>
        <w:tab w:val="right" w:pos="8640"/>
      </w:tabs>
    </w:pPr>
  </w:style>
  <w:style w:type="character" w:customStyle="1" w:styleId="HeaderChar">
    <w:name w:val="Header Char"/>
    <w:basedOn w:val="DefaultParagraphFont"/>
    <w:link w:val="Header"/>
    <w:uiPriority w:val="99"/>
    <w:rsid w:val="00465964"/>
  </w:style>
  <w:style w:type="paragraph" w:styleId="Footer">
    <w:name w:val="footer"/>
    <w:basedOn w:val="Normal"/>
    <w:link w:val="FooterChar"/>
    <w:uiPriority w:val="99"/>
    <w:unhideWhenUsed/>
    <w:rsid w:val="00465964"/>
    <w:pPr>
      <w:tabs>
        <w:tab w:val="center" w:pos="4320"/>
        <w:tab w:val="right" w:pos="8640"/>
      </w:tabs>
    </w:pPr>
  </w:style>
  <w:style w:type="character" w:customStyle="1" w:styleId="FooterChar">
    <w:name w:val="Footer Char"/>
    <w:basedOn w:val="DefaultParagraphFont"/>
    <w:link w:val="Footer"/>
    <w:uiPriority w:val="99"/>
    <w:rsid w:val="00465964"/>
  </w:style>
  <w:style w:type="character" w:styleId="Hyperlink">
    <w:name w:val="Hyperlink"/>
    <w:uiPriority w:val="99"/>
    <w:unhideWhenUsed/>
    <w:rsid w:val="00465964"/>
    <w:rPr>
      <w:color w:val="0000FF"/>
      <w:u w:val="single"/>
    </w:rPr>
  </w:style>
  <w:style w:type="paragraph" w:styleId="ListParagraph">
    <w:name w:val="List Paragraph"/>
    <w:basedOn w:val="Normal"/>
    <w:uiPriority w:val="34"/>
    <w:qFormat/>
    <w:rsid w:val="00DA2712"/>
    <w:pPr>
      <w:ind w:left="720"/>
      <w:contextualSpacing/>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npwj.org/node/13859" TargetMode="External"/><Relationship Id="rId3" Type="http://schemas.openxmlformats.org/officeDocument/2006/relationships/settings" Target="settings.xml"/><Relationship Id="rId7" Type="http://schemas.openxmlformats.org/officeDocument/2006/relationships/hyperlink" Target="mailto:ngiovannini@npw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nyurl.com/StatementoftheChai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IILHR</Company>
  <LinksUpToDate>false</LinksUpToDate>
  <CharactersWithSpaces>5002</CharactersWithSpaces>
  <SharedDoc>false</SharedDoc>
  <HLinks>
    <vt:vector size="18" baseType="variant">
      <vt:variant>
        <vt:i4>4063353</vt:i4>
      </vt:variant>
      <vt:variant>
        <vt:i4>6</vt:i4>
      </vt:variant>
      <vt:variant>
        <vt:i4>0</vt:i4>
      </vt:variant>
      <vt:variant>
        <vt:i4>5</vt:i4>
      </vt:variant>
      <vt:variant>
        <vt:lpwstr>http://tinyurl.com/StatementoftheChair</vt:lpwstr>
      </vt:variant>
      <vt:variant>
        <vt:lpwstr/>
      </vt:variant>
      <vt:variant>
        <vt:i4>8061025</vt:i4>
      </vt:variant>
      <vt:variant>
        <vt:i4>3</vt:i4>
      </vt:variant>
      <vt:variant>
        <vt:i4>0</vt:i4>
      </vt:variant>
      <vt:variant>
        <vt:i4>5</vt:i4>
      </vt:variant>
      <vt:variant>
        <vt:lpwstr>http://www.npwj.org/node/13859</vt:lpwstr>
      </vt:variant>
      <vt:variant>
        <vt:lpwstr/>
      </vt:variant>
      <vt:variant>
        <vt:i4>3670038</vt:i4>
      </vt:variant>
      <vt:variant>
        <vt:i4>0</vt:i4>
      </vt:variant>
      <vt:variant>
        <vt:i4>0</vt:i4>
      </vt:variant>
      <vt:variant>
        <vt:i4>5</vt:i4>
      </vt:variant>
      <vt:variant>
        <vt:lpwstr>mailto:ngiovannini@npwj.org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Spencer</dc:creator>
  <cp:lastModifiedBy>emma</cp:lastModifiedBy>
  <cp:revision>2</cp:revision>
  <dcterms:created xsi:type="dcterms:W3CDTF">2017-06-08T15:40:00Z</dcterms:created>
  <dcterms:modified xsi:type="dcterms:W3CDTF">2017-06-08T15:40:00Z</dcterms:modified>
</cp:coreProperties>
</file>