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E" w:rsidRDefault="00D914D3">
      <w:pPr>
        <w:jc w:val="both"/>
        <w:rPr>
          <w:b/>
          <w:color w:val="FF0000"/>
        </w:rPr>
      </w:pPr>
      <w:r>
        <w:rPr>
          <w:b/>
          <w:color w:val="FF0000"/>
        </w:rPr>
        <w:t>Pod embargom do 13.6.2018 o 00:01 stredoeurópskeho času</w:t>
      </w:r>
    </w:p>
    <w:p w:rsidR="007B5C6E" w:rsidRDefault="00D914D3">
      <w:pPr>
        <w:jc w:val="both"/>
        <w:rPr>
          <w:b/>
        </w:rPr>
      </w:pPr>
      <w:r>
        <w:rPr>
          <w:b/>
        </w:rPr>
        <w:t xml:space="preserve"> </w:t>
      </w:r>
    </w:p>
    <w:p w:rsidR="007B5C6E" w:rsidRDefault="00D914D3">
      <w:pPr>
        <w:jc w:val="both"/>
        <w:rPr>
          <w:b/>
        </w:rPr>
      </w:pPr>
      <w:r>
        <w:rPr>
          <w:b/>
        </w:rPr>
        <w:t>Index Ľudia v ohrození 2018: tvrdé zásahy vlád proti slobode prejavu a politickej opozícii sú kľúčovým faktorom pri hrozbe masového zabíjania a iného násilia</w:t>
      </w:r>
    </w:p>
    <w:p w:rsidR="007B5C6E" w:rsidRDefault="007B5C6E">
      <w:pPr>
        <w:jc w:val="both"/>
        <w:rPr>
          <w:b/>
        </w:rPr>
      </w:pPr>
    </w:p>
    <w:p w:rsidR="007B5C6E" w:rsidRDefault="00D914D3">
      <w:pPr>
        <w:jc w:val="both"/>
      </w:pPr>
      <w:r>
        <w:t xml:space="preserve">Ohrozenie masovým zabíjaním, genocídou a iným násilím rastie zvlášť v krajinách, ktorých vlády sa uchyľujú k represívnym opatreniam s cieľom potlačiť disent. Vyplýva to z najnovšej dátovej analýzy, ktorú spoločne vypracovali organizácie </w:t>
      </w:r>
      <w:hyperlink r:id="rId6">
        <w:r>
          <w:rPr>
            <w:color w:val="1155CC"/>
            <w:u w:val="single"/>
          </w:rPr>
          <w:t>Minority Rights Group International</w:t>
        </w:r>
      </w:hyperlink>
      <w:r>
        <w:t xml:space="preserve"> a </w:t>
      </w:r>
      <w:hyperlink r:id="rId7">
        <w:r>
          <w:rPr>
            <w:color w:val="1155CC"/>
            <w:u w:val="single"/>
          </w:rPr>
          <w:t>Ceasfire Centre for Civilian Rigths</w:t>
        </w:r>
      </w:hyperlink>
      <w:r>
        <w:t xml:space="preserve">. </w:t>
      </w:r>
    </w:p>
    <w:p w:rsidR="007B5C6E" w:rsidRDefault="00D914D3">
      <w:pPr>
        <w:jc w:val="both"/>
        <w:rPr>
          <w:b/>
        </w:rPr>
      </w:pPr>
      <w:r>
        <w:rPr>
          <w:b/>
        </w:rPr>
        <w:t xml:space="preserve"> </w:t>
      </w:r>
    </w:p>
    <w:p w:rsidR="007B5C6E" w:rsidRDefault="00D914D3">
      <w:pPr>
        <w:jc w:val="both"/>
      </w:pPr>
      <w:r>
        <w:t xml:space="preserve">Cieľom analýzy známej aj ako </w:t>
      </w:r>
      <w:hyperlink r:id="rId8">
        <w:r>
          <w:rPr>
            <w:color w:val="1155CC"/>
            <w:u w:val="single"/>
          </w:rPr>
          <w:t>Index Ľudia v ohrození</w:t>
        </w:r>
      </w:hyperlink>
      <w:r>
        <w:t xml:space="preserve"> je </w:t>
      </w:r>
      <w:r>
        <w:t>identifikovať tie krajiny sveta, v ktorých ľuďom hrozia genocídy, masové zabíjanie a systematické násilné represie. Tohoročný index ukazuje, že úroveň ohrozenia stúpla predovšetkým v krajinách, v ktorých sa čoraz viac presadzuje autoritárske zriadenie a út</w:t>
      </w:r>
      <w:r>
        <w:t>lak médií a občianskej spoločnosti, čo stále viac a viac definuje postoje vlád k miestnej opozícii.</w:t>
      </w:r>
    </w:p>
    <w:p w:rsidR="007B5C6E" w:rsidRDefault="00D914D3">
      <w:pPr>
        <w:jc w:val="both"/>
      </w:pPr>
      <w:r>
        <w:t xml:space="preserve"> </w:t>
      </w:r>
    </w:p>
    <w:p w:rsidR="007B5C6E" w:rsidRDefault="00D914D3">
      <w:pPr>
        <w:jc w:val="both"/>
      </w:pPr>
      <w:r>
        <w:t>“Tohoročný prieskum podčiarkuje fakt, že dnes sú kľúčovým prispievateľom k masovému zabíjaniu a inému násiliu represívne reakcie vlád,” hovorí Claire Thom</w:t>
      </w:r>
      <w:r>
        <w:t xml:space="preserve">as, výkonná riaditeľka Minority Rights Group International. “V čoraz vyššej miere sú riziku vystavené nielen ľudia v zlyhaných štátoch, v ktorých vlády nedokážu alebo nechcú chrániť vlastné obyvateľstvo, ale aj tam, kde vlády používajú nimi vnímané hrozby </w:t>
      </w:r>
      <w:r>
        <w:t>ako ospravedlnenie zásahu proti špecifickým skupinám ako aj občianskej spoločnosti ako takej,” dopĺňa Claire Thomas.</w:t>
      </w:r>
    </w:p>
    <w:p w:rsidR="007B5C6E" w:rsidRDefault="007B5C6E">
      <w:pPr>
        <w:jc w:val="both"/>
      </w:pPr>
    </w:p>
    <w:p w:rsidR="007B5C6E" w:rsidRDefault="00D914D3">
      <w:pPr>
        <w:jc w:val="both"/>
      </w:pPr>
      <w:r>
        <w:t xml:space="preserve">Napríklad v </w:t>
      </w:r>
      <w:hyperlink r:id="rId9">
        <w:r>
          <w:rPr>
            <w:color w:val="1155CC"/>
            <w:u w:val="single"/>
          </w:rPr>
          <w:t>Etiópii</w:t>
        </w:r>
      </w:hyperlink>
      <w:r>
        <w:t xml:space="preserve"> vláda použila násilie, aby potlačila silnejúce pr</w:t>
      </w:r>
      <w:r>
        <w:t>otesty v marginalizovanom regióne Oromia. Bezpečnostné zložky v snahe potlačiť politickú opozíciu zabili počas roka viac než 1000 protestujúcich a zatkli desiatky tisíc ďalších. Vo februári v krajine vyhlásili stav ohrozenia, ktorý viedol k zavedeniu mnohý</w:t>
      </w:r>
      <w:r>
        <w:t>ch obmedzení slobody prejavu a zhromažďovania. Nestratilo sa pritom ani svojvoľné zadržiavanie a mučenie oponentov.</w:t>
      </w:r>
    </w:p>
    <w:p w:rsidR="007B5C6E" w:rsidRDefault="007B5C6E">
      <w:pPr>
        <w:jc w:val="both"/>
      </w:pPr>
    </w:p>
    <w:p w:rsidR="007B5C6E" w:rsidRDefault="00D914D3">
      <w:pPr>
        <w:jc w:val="both"/>
        <w:rPr>
          <w:color w:val="212121"/>
          <w:highlight w:val="white"/>
        </w:rPr>
      </w:pPr>
      <w:r>
        <w:t>Stupeň ohrozenia vzrástol aj v Turecku, kde sa prezidentovi Recepovi Tayyipovi Erdoganovi darí konsolidovať moc prostredníctvom masových či</w:t>
      </w:r>
      <w:r>
        <w:t>stiek medzi novinármi, verejnými predstaviteľmi a učiteľmi. Čistky nasledovali po zlyhanom pokuse o puč v roku 2016. Turecké armádne sily sa tiež opakovane dostali do stretov s bojovníkmi Kurdskej strany pracujúcich, predovšetkým v regióne Diyarbakir. To v</w:t>
      </w:r>
      <w:r>
        <w:t>iedlo k rozsiahlemu presídľovaniu obyvateľstva a civilným stratám, ktoré sa obzvlášť dotkli tamojšej kurdskej komunity.</w:t>
      </w:r>
    </w:p>
    <w:p w:rsidR="007B5C6E" w:rsidRDefault="00D914D3">
      <w:pPr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 </w:t>
      </w:r>
    </w:p>
    <w:p w:rsidR="007B5C6E" w:rsidRDefault="00D914D3">
      <w:pPr>
        <w:jc w:val="both"/>
        <w:rPr>
          <w:highlight w:val="white"/>
        </w:rPr>
      </w:pPr>
      <w:r>
        <w:rPr>
          <w:highlight w:val="white"/>
        </w:rPr>
        <w:lastRenderedPageBreak/>
        <w:t xml:space="preserve">Podobný vzorec môžeme nájsť vo </w:t>
      </w:r>
      <w:hyperlink r:id="rId10">
        <w:r>
          <w:rPr>
            <w:color w:val="1155CC"/>
            <w:highlight w:val="white"/>
            <w:u w:val="single"/>
          </w:rPr>
          <w:t>Venezuele</w:t>
        </w:r>
      </w:hyperlink>
      <w:r>
        <w:rPr>
          <w:highlight w:val="white"/>
        </w:rPr>
        <w:t>,</w:t>
      </w:r>
      <w:r>
        <w:rPr>
          <w:highlight w:val="white"/>
        </w:rPr>
        <w:t xml:space="preserve"> ktorá takisto poskočila v rebríčku Ľudia v ohrození po tom, ako vláda pod vedením Nicolasa Madura násilne potlačila protesty proti nej.</w:t>
      </w:r>
    </w:p>
    <w:p w:rsidR="007B5C6E" w:rsidRDefault="007B5C6E">
      <w:pPr>
        <w:jc w:val="both"/>
        <w:rPr>
          <w:color w:val="212121"/>
          <w:highlight w:val="white"/>
        </w:rPr>
      </w:pPr>
    </w:p>
    <w:p w:rsidR="007B5C6E" w:rsidRDefault="00D914D3">
      <w:pPr>
        <w:jc w:val="both"/>
        <w:rPr>
          <w:highlight w:val="white"/>
        </w:rPr>
      </w:pPr>
      <w:r>
        <w:rPr>
          <w:color w:val="212121"/>
          <w:highlight w:val="white"/>
        </w:rPr>
        <w:t>Neštátne ozbrojené skupiny hrali ústrednú rolu v eskalácii konfliktu vo viacerých krajinách, ktoré sa vedno nachádzajú</w:t>
      </w:r>
      <w:r>
        <w:rPr>
          <w:color w:val="212121"/>
          <w:highlight w:val="white"/>
        </w:rPr>
        <w:t xml:space="preserve"> vysoko v rebríčku. Ide napríklad o </w:t>
      </w:r>
      <w:hyperlink r:id="rId11">
        <w:r>
          <w:rPr>
            <w:color w:val="1155CC"/>
            <w:highlight w:val="white"/>
            <w:u w:val="single"/>
          </w:rPr>
          <w:t>Afganistan</w:t>
        </w:r>
      </w:hyperlink>
      <w:r>
        <w:rPr>
          <w:color w:val="212121"/>
          <w:highlight w:val="white"/>
        </w:rPr>
        <w:t xml:space="preserve">, </w:t>
      </w:r>
      <w:hyperlink r:id="rId12">
        <w:r>
          <w:rPr>
            <w:color w:val="1155CC"/>
            <w:highlight w:val="white"/>
            <w:u w:val="single"/>
          </w:rPr>
          <w:t>Demokratickú republiku Kongo (DRC)</w:t>
        </w:r>
      </w:hyperlink>
      <w:r>
        <w:rPr>
          <w:highlight w:val="white"/>
        </w:rPr>
        <w:t xml:space="preserve"> a </w:t>
      </w:r>
      <w:hyperlink r:id="rId13">
        <w:r>
          <w:rPr>
            <w:color w:val="1155CC"/>
            <w:highlight w:val="white"/>
            <w:u w:val="single"/>
          </w:rPr>
          <w:t>Somálsko</w:t>
        </w:r>
      </w:hyperlink>
      <w:r>
        <w:rPr>
          <w:color w:val="212121"/>
          <w:highlight w:val="white"/>
        </w:rPr>
        <w:t>,</w:t>
      </w:r>
      <w:r>
        <w:rPr>
          <w:highlight w:val="white"/>
        </w:rPr>
        <w:t xml:space="preserve"> kde sú hnané politickým súperením, extrémistickými ideológiami a pretekmi o prístup k zdrojom.</w:t>
      </w:r>
    </w:p>
    <w:p w:rsidR="007B5C6E" w:rsidRDefault="007B5C6E">
      <w:pPr>
        <w:jc w:val="both"/>
        <w:rPr>
          <w:color w:val="2F2F2F"/>
          <w:highlight w:val="white"/>
        </w:rPr>
      </w:pPr>
    </w:p>
    <w:p w:rsidR="007B5C6E" w:rsidRDefault="00D914D3">
      <w:pPr>
        <w:jc w:val="both"/>
      </w:pPr>
      <w:r>
        <w:rPr>
          <w:highlight w:val="white"/>
        </w:rPr>
        <w:t xml:space="preserve">Napríklad </w:t>
      </w:r>
      <w:hyperlink r:id="rId14">
        <w:r>
          <w:rPr>
            <w:highlight w:val="white"/>
            <w:u w:val="single"/>
          </w:rPr>
          <w:t>Niger</w:t>
        </w:r>
      </w:hyperlink>
      <w:r>
        <w:rPr>
          <w:highlight w:val="white"/>
        </w:rPr>
        <w:t xml:space="preserve"> zažíva výrazné otrasy ako dôsledok pokračujúceho násilia spojeného s povstaním ozbrojenej skupiny Boko Haram. V marci tohto roku vláda Nigeru vyhlásila stav ohrozenia v západných oblastiach na hraniciach s Mali a spustila veľkú vojenskú operáciu. Stalo sa</w:t>
      </w:r>
      <w:r>
        <w:rPr>
          <w:highlight w:val="white"/>
        </w:rPr>
        <w:t xml:space="preserve"> tak po tom, ako ozbrojenci zaútočili v regiónoch Tillabéry a Tahoua. Minulý rok boli v krajine počas vládneho záťahu proti disentu zatknuté stovky novinárov, protestujúcich a opozičných politikov.</w:t>
      </w:r>
      <w:r>
        <w:t xml:space="preserve"> </w:t>
      </w:r>
    </w:p>
    <w:p w:rsidR="007B5C6E" w:rsidRDefault="007B5C6E">
      <w:pPr>
        <w:jc w:val="both"/>
      </w:pPr>
    </w:p>
    <w:p w:rsidR="007B5C6E" w:rsidRDefault="00D914D3">
      <w:pPr>
        <w:jc w:val="both"/>
      </w:pPr>
      <w:r>
        <w:t xml:space="preserve">V </w:t>
      </w:r>
      <w:hyperlink r:id="rId15">
        <w:r>
          <w:rPr>
            <w:color w:val="1155CC"/>
            <w:u w:val="single"/>
          </w:rPr>
          <w:t>Iraku</w:t>
        </w:r>
      </w:hyperlink>
      <w:r>
        <w:t xml:space="preserve"> a </w:t>
      </w:r>
      <w:hyperlink r:id="rId16">
        <w:r>
          <w:rPr>
            <w:color w:val="1155CC"/>
            <w:u w:val="single"/>
          </w:rPr>
          <w:t>Líbyi</w:t>
        </w:r>
      </w:hyperlink>
      <w:r>
        <w:t>, ktoré obe figurujú v rebríčku veľmi vysoko, bola hrozba od tzv. Islamského štátu (IS) zrejme potlačená, no rozšírenie iných milícií vystavuje obyvateľov ohromnému r</w:t>
      </w:r>
      <w:r>
        <w:t>iziku.</w:t>
      </w:r>
    </w:p>
    <w:p w:rsidR="007B5C6E" w:rsidRDefault="007B5C6E">
      <w:pPr>
        <w:jc w:val="both"/>
      </w:pPr>
    </w:p>
    <w:p w:rsidR="007B5C6E" w:rsidRDefault="00D914D3">
      <w:pPr>
        <w:jc w:val="both"/>
      </w:pPr>
      <w:r>
        <w:t xml:space="preserve">“Odpovede medzinárodného spoločenstva na hrozby proti civilistom sa pohybovali na škále od nečinnosti až po katastrofálne vojenské intervencie. Oba prístupy však zhoršili situáciu v mnohých krajinách,” povedal Mark Lattimer, riaditeľ organizácie </w:t>
      </w:r>
      <w:hyperlink r:id="rId17">
        <w:r>
          <w:rPr>
            <w:color w:val="1155CC"/>
            <w:u w:val="single"/>
          </w:rPr>
          <w:t>Ceasefire Centre for Civilian Rights</w:t>
        </w:r>
      </w:hyperlink>
      <w:r>
        <w:t xml:space="preserve">. </w:t>
      </w:r>
    </w:p>
    <w:p w:rsidR="007B5C6E" w:rsidRDefault="00D914D3">
      <w:pPr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 </w:t>
      </w:r>
    </w:p>
    <w:p w:rsidR="007B5C6E" w:rsidRDefault="00D914D3">
      <w:pPr>
        <w:jc w:val="both"/>
        <w:rPr>
          <w:highlight w:val="white"/>
        </w:rPr>
      </w:pPr>
      <w:r>
        <w:rPr>
          <w:highlight w:val="white"/>
        </w:rPr>
        <w:t xml:space="preserve">Napríklad v </w:t>
      </w:r>
      <w:hyperlink r:id="rId18">
        <w:r>
          <w:rPr>
            <w:color w:val="1155CC"/>
            <w:highlight w:val="white"/>
            <w:u w:val="single"/>
          </w:rPr>
          <w:t>Mjanmarsku</w:t>
        </w:r>
      </w:hyperlink>
      <w:r>
        <w:rPr>
          <w:highlight w:val="white"/>
        </w:rPr>
        <w:t xml:space="preserve"> sa nedávne udalosti spojené s násilným presídľovaním príslušníkov menšiny </w:t>
      </w:r>
      <w:hyperlink r:id="rId19">
        <w:r>
          <w:rPr>
            <w:color w:val="1155CC"/>
            <w:highlight w:val="white"/>
            <w:u w:val="single"/>
          </w:rPr>
          <w:t>Rohingov</w:t>
        </w:r>
      </w:hyperlink>
      <w:r>
        <w:rPr>
          <w:highlight w:val="white"/>
        </w:rPr>
        <w:t xml:space="preserve"> stretli len so slabou odozvou medzinárodnej komunity a nedá sa očakávať, že sa presídľovanie podarí vyriešiť niekedy v blízkej budúcnosti. A v </w:t>
      </w:r>
      <w:hyperlink r:id="rId20">
        <w:r>
          <w:rPr>
            <w:color w:val="1155CC"/>
            <w:highlight w:val="white"/>
            <w:u w:val="single"/>
          </w:rPr>
          <w:t>Sýrii</w:t>
        </w:r>
      </w:hyperlink>
      <w:r>
        <w:rPr>
          <w:highlight w:val="white"/>
        </w:rPr>
        <w:t xml:space="preserve">, ktorá sa opätovne umiestnila na samom špici rebríčka, prispela pomoc ponúknutá Asadovmu režimu z Iránu a Ruska k prudkému nárastu civilných úmrtí, zatiaľ čo bombové útoky medzinárodnej koalície proti </w:t>
      </w:r>
      <w:r>
        <w:rPr>
          <w:highlight w:val="white"/>
        </w:rPr>
        <w:t>IS takisto viedli k nezistenému množstvu civilných obetí.</w:t>
      </w:r>
    </w:p>
    <w:p w:rsidR="007B5C6E" w:rsidRDefault="00D914D3">
      <w:pPr>
        <w:jc w:val="both"/>
      </w:pPr>
      <w:r>
        <w:t xml:space="preserve"> </w:t>
      </w:r>
    </w:p>
    <w:p w:rsidR="007B5C6E" w:rsidRDefault="00D914D3">
      <w:pPr>
        <w:jc w:val="both"/>
        <w:rPr>
          <w:i/>
        </w:rPr>
      </w:pPr>
      <w:r>
        <w:rPr>
          <w:i/>
        </w:rPr>
        <w:t>Toto je 13. ročník indexu Ľudia v ohrození, ktorý vytvorila organizácia Minority Rights Group International. Index stojí na indikátoroch získaných z dôveryhodných zdrojov a má slúžiť ako nástroj s</w:t>
      </w:r>
      <w:r>
        <w:rPr>
          <w:i/>
        </w:rPr>
        <w:t>korého varovania pred potenciálnymi budúcimi masovými ohavnosťami a krutosťami.</w:t>
      </w:r>
    </w:p>
    <w:p w:rsidR="007B5C6E" w:rsidRDefault="007B5C6E">
      <w:pPr>
        <w:jc w:val="both"/>
      </w:pPr>
    </w:p>
    <w:p w:rsidR="007B5C6E" w:rsidRDefault="00D914D3">
      <w:pPr>
        <w:jc w:val="both"/>
        <w:rPr>
          <w:b/>
        </w:rPr>
      </w:pPr>
      <w:r>
        <w:rPr>
          <w:b/>
        </w:rPr>
        <w:t>Poznámky pre editorov:</w:t>
      </w:r>
    </w:p>
    <w:p w:rsidR="007B5C6E" w:rsidRDefault="007B5C6E">
      <w:pPr>
        <w:jc w:val="both"/>
      </w:pPr>
    </w:p>
    <w:p w:rsidR="007B5C6E" w:rsidRDefault="00D914D3">
      <w:pPr>
        <w:jc w:val="both"/>
        <w:rPr>
          <w:b/>
        </w:rPr>
      </w:pPr>
      <w:r>
        <w:rPr>
          <w:b/>
        </w:rPr>
        <w:t>Možnosti rozhovorov:</w:t>
      </w:r>
    </w:p>
    <w:p w:rsidR="007B5C6E" w:rsidRDefault="007B5C6E">
      <w:pPr>
        <w:jc w:val="both"/>
      </w:pPr>
    </w:p>
    <w:p w:rsidR="007B5C6E" w:rsidRDefault="00D914D3">
      <w:pPr>
        <w:numPr>
          <w:ilvl w:val="0"/>
          <w:numId w:val="1"/>
        </w:numPr>
        <w:contextualSpacing/>
        <w:jc w:val="both"/>
      </w:pPr>
      <w:r>
        <w:t>Claire Thomas, dočasná výkonná riaditeľka Minority Rights Group International (Londýn, Veľká Británia)</w:t>
      </w:r>
    </w:p>
    <w:p w:rsidR="007B5C6E" w:rsidRDefault="00D914D3">
      <w:pPr>
        <w:numPr>
          <w:ilvl w:val="0"/>
          <w:numId w:val="1"/>
        </w:numPr>
        <w:contextualSpacing/>
        <w:jc w:val="both"/>
      </w:pPr>
      <w:r>
        <w:t xml:space="preserve">Mark Lattimer, výkonný </w:t>
      </w:r>
      <w:r>
        <w:t>riaditeľ Ceasefire Centre for Civilian Rights (Londýn, Veľká Británia)</w:t>
      </w:r>
    </w:p>
    <w:p w:rsidR="007B5C6E" w:rsidRDefault="00D914D3">
      <w:pPr>
        <w:numPr>
          <w:ilvl w:val="0"/>
          <w:numId w:val="1"/>
        </w:numPr>
        <w:contextualSpacing/>
        <w:jc w:val="both"/>
      </w:pPr>
      <w:r>
        <w:t>Predstavitelia menšín z krajín zobrazených v indexe</w:t>
      </w:r>
    </w:p>
    <w:p w:rsidR="007B5C6E" w:rsidRDefault="007B5C6E">
      <w:pPr>
        <w:jc w:val="both"/>
      </w:pPr>
    </w:p>
    <w:p w:rsidR="007B5C6E" w:rsidRDefault="00D914D3">
      <w:pPr>
        <w:jc w:val="both"/>
      </w:pPr>
      <w:r>
        <w:t xml:space="preserve">Navštívte tiež </w:t>
      </w:r>
      <w:hyperlink r:id="rId21">
        <w:r>
          <w:rPr>
            <w:color w:val="1155CC"/>
            <w:u w:val="single"/>
          </w:rPr>
          <w:t>online mapu</w:t>
        </w:r>
      </w:hyperlink>
      <w:r>
        <w:t xml:space="preserve">, ktorá vizualizuje dáta z indexu Ľudia v ohrození. </w:t>
      </w:r>
      <w:r>
        <w:t>Vyhľadávať môžete podľa roku alebo krajiny, nájdete v nej aj odkazy na reporty, tlačové správy a ďalšie informácie týkajúce sa komunít v ohrození.</w:t>
      </w:r>
    </w:p>
    <w:p w:rsidR="007B5C6E" w:rsidRDefault="007B5C6E">
      <w:pPr>
        <w:jc w:val="both"/>
      </w:pPr>
    </w:p>
    <w:p w:rsidR="007B5C6E" w:rsidRDefault="00D914D3">
      <w:pPr>
        <w:jc w:val="both"/>
      </w:pPr>
      <w:r>
        <w:t>Stiahnite si plnú verziu globálneho rebríčku Ľudia v ohrození aj s doplňujúcimi poznámkami.</w:t>
      </w:r>
    </w:p>
    <w:p w:rsidR="007B5C6E" w:rsidRDefault="007B5C6E">
      <w:pPr>
        <w:jc w:val="both"/>
      </w:pPr>
    </w:p>
    <w:p w:rsidR="007B5C6E" w:rsidRDefault="00D914D3">
      <w:pPr>
        <w:jc w:val="both"/>
        <w:rPr>
          <w:highlight w:val="white"/>
        </w:rPr>
      </w:pPr>
      <w:r>
        <w:rPr>
          <w:highlight w:val="white"/>
        </w:rPr>
        <w:t>Minority Rights</w:t>
      </w:r>
      <w:r>
        <w:rPr>
          <w:highlight w:val="white"/>
        </w:rPr>
        <w:t xml:space="preserve"> Group International je vedúca medzinárodná ľudskoprávna organizácia, ktorej cieľom je zaistiť práva etnických, náboženských a jazykových menšín a pôvodných obyvateľov. Pracujeme s viac než 150 partnermi vo viac než 50 krajinách. </w:t>
      </w:r>
    </w:p>
    <w:p w:rsidR="007B5C6E" w:rsidRDefault="00D914D3">
      <w:pPr>
        <w:jc w:val="both"/>
        <w:rPr>
          <w:b/>
          <w:highlight w:val="white"/>
        </w:rPr>
      </w:pPr>
      <w:r>
        <w:rPr>
          <w:highlight w:val="white"/>
        </w:rPr>
        <w:br/>
      </w:r>
      <w:r>
        <w:rPr>
          <w:b/>
          <w:highlight w:val="white"/>
        </w:rPr>
        <w:t>Pre viac informácií a kv</w:t>
      </w:r>
      <w:r>
        <w:rPr>
          <w:b/>
          <w:highlight w:val="white"/>
        </w:rPr>
        <w:t xml:space="preserve">ôli získaniu zaembargovanej kópie tohoročnej správy People under Threat Index, alebo kvôli zaisteniu rozhovoru, prosím kontaktujte: </w:t>
      </w:r>
    </w:p>
    <w:p w:rsidR="007B5C6E" w:rsidRDefault="007B5C6E">
      <w:pPr>
        <w:spacing w:after="160"/>
        <w:jc w:val="both"/>
        <w:rPr>
          <w:highlight w:val="white"/>
        </w:rPr>
      </w:pPr>
    </w:p>
    <w:p w:rsidR="00D914D3" w:rsidRPr="00D914D3" w:rsidRDefault="00D914D3" w:rsidP="00D914D3">
      <w:pPr>
        <w:rPr>
          <w:rFonts w:eastAsia="Times New Roman"/>
          <w:color w:val="000000"/>
        </w:rPr>
      </w:pPr>
      <w:r w:rsidRPr="00D914D3">
        <w:rPr>
          <w:rFonts w:eastAsia="Times New Roman"/>
          <w:b/>
          <w:bCs/>
          <w:color w:val="000000"/>
        </w:rPr>
        <w:t>Anna Alboth</w:t>
      </w:r>
      <w:r>
        <w:rPr>
          <w:rFonts w:eastAsia="Times New Roman"/>
          <w:b/>
          <w:bCs/>
          <w:color w:val="000000"/>
          <w:lang w:val="en-GB"/>
        </w:rPr>
        <w:t xml:space="preserve"> - </w:t>
      </w:r>
      <w:r w:rsidRPr="00D914D3">
        <w:rPr>
          <w:rFonts w:eastAsia="Times New Roman"/>
          <w:color w:val="000000"/>
        </w:rPr>
        <w:t>Media Programmes Coordinator</w:t>
      </w:r>
    </w:p>
    <w:p w:rsidR="00D914D3" w:rsidRPr="00D914D3" w:rsidRDefault="00D914D3" w:rsidP="00D914D3">
      <w:pPr>
        <w:rPr>
          <w:rFonts w:eastAsia="Times New Roman"/>
          <w:color w:val="000000"/>
        </w:rPr>
      </w:pPr>
      <w:r w:rsidRPr="00D914D3">
        <w:rPr>
          <w:rFonts w:eastAsia="Times New Roman"/>
          <w:color w:val="000000"/>
        </w:rPr>
        <w:t>Minority Rights Group Europe</w:t>
      </w:r>
    </w:p>
    <w:p w:rsidR="00D914D3" w:rsidRPr="00D914D3" w:rsidRDefault="00D914D3" w:rsidP="00D914D3">
      <w:pPr>
        <w:rPr>
          <w:rFonts w:eastAsia="Times New Roman"/>
          <w:color w:val="000000"/>
        </w:rPr>
      </w:pPr>
      <w:r w:rsidRPr="00D914D3">
        <w:rPr>
          <w:rFonts w:eastAsia="Times New Roman"/>
          <w:color w:val="000000"/>
          <w:lang w:val="es-ES"/>
        </w:rPr>
        <w:t>T</w:t>
      </w:r>
      <w:r w:rsidRPr="00D914D3">
        <w:rPr>
          <w:rFonts w:eastAsia="Times New Roman"/>
          <w:color w:val="000000"/>
        </w:rPr>
        <w:t>: +36 30 209 2152</w:t>
      </w:r>
    </w:p>
    <w:p w:rsidR="00D914D3" w:rsidRPr="00D914D3" w:rsidRDefault="00D914D3" w:rsidP="00D914D3">
      <w:pPr>
        <w:rPr>
          <w:rFonts w:eastAsia="Times New Roman"/>
          <w:color w:val="000000"/>
        </w:rPr>
      </w:pPr>
      <w:r w:rsidRPr="00D914D3">
        <w:rPr>
          <w:rFonts w:eastAsia="Times New Roman"/>
          <w:color w:val="000000"/>
          <w:lang w:val="es-ES"/>
        </w:rPr>
        <w:t>E</w:t>
      </w:r>
      <w:r w:rsidRPr="00D914D3">
        <w:rPr>
          <w:rFonts w:eastAsia="Times New Roman"/>
          <w:color w:val="000000"/>
        </w:rPr>
        <w:t xml:space="preserve">: </w:t>
      </w:r>
      <w:hyperlink r:id="rId22" w:history="1">
        <w:r w:rsidRPr="00D914D3">
          <w:rPr>
            <w:rStyle w:val="Hyperlink"/>
            <w:rFonts w:eastAsia="Times New Roman"/>
          </w:rPr>
          <w:t>anna.alboth@mrgmail.org</w:t>
        </w:r>
      </w:hyperlink>
    </w:p>
    <w:p w:rsidR="007B5C6E" w:rsidRDefault="007B5C6E">
      <w:pPr>
        <w:spacing w:after="160"/>
        <w:jc w:val="both"/>
        <w:rPr>
          <w:highlight w:val="white"/>
        </w:rPr>
      </w:pPr>
    </w:p>
    <w:p w:rsidR="007B5C6E" w:rsidRDefault="00D914D3">
      <w:pPr>
        <w:spacing w:after="160"/>
        <w:jc w:val="both"/>
        <w:rPr>
          <w:b/>
          <w:highlight w:val="white"/>
        </w:rPr>
      </w:pPr>
      <w:r>
        <w:rPr>
          <w:b/>
          <w:highlight w:val="white"/>
        </w:rPr>
        <w:t xml:space="preserve">Alebo v prípade slovenčiny a </w:t>
      </w:r>
      <w:r>
        <w:rPr>
          <w:b/>
          <w:highlight w:val="white"/>
          <w:lang w:val="sk-SK"/>
        </w:rPr>
        <w:t xml:space="preserve">potreby </w:t>
      </w:r>
      <w:r>
        <w:rPr>
          <w:b/>
          <w:highlight w:val="white"/>
        </w:rPr>
        <w:t xml:space="preserve">sprostredkovania podkladov od partnerov z </w:t>
      </w:r>
      <w:r>
        <w:rPr>
          <w:b/>
          <w:highlight w:val="white"/>
          <w:lang w:val="sk-SK"/>
        </w:rPr>
        <w:t xml:space="preserve">Minority Rights Group International </w:t>
      </w:r>
      <w:r>
        <w:rPr>
          <w:b/>
          <w:highlight w:val="white"/>
        </w:rPr>
        <w:t>prosím kontaktujte</w:t>
      </w:r>
      <w:bookmarkStart w:id="0" w:name="_GoBack"/>
      <w:bookmarkEnd w:id="0"/>
      <w:r>
        <w:rPr>
          <w:b/>
          <w:highlight w:val="white"/>
        </w:rPr>
        <w:t>:</w:t>
      </w:r>
    </w:p>
    <w:p w:rsidR="007B5C6E" w:rsidRDefault="00D914D3">
      <w:pPr>
        <w:spacing w:after="160"/>
        <w:jc w:val="both"/>
        <w:rPr>
          <w:highlight w:val="white"/>
        </w:rPr>
      </w:pPr>
      <w:r>
        <w:rPr>
          <w:highlight w:val="white"/>
        </w:rPr>
        <w:t>Peter Ivanič - Liga za ľu</w:t>
      </w:r>
      <w:r>
        <w:rPr>
          <w:highlight w:val="white"/>
        </w:rPr>
        <w:t>dské práva</w:t>
      </w:r>
    </w:p>
    <w:p w:rsidR="007B5C6E" w:rsidRDefault="00D914D3">
      <w:pPr>
        <w:spacing w:after="160"/>
        <w:jc w:val="both"/>
        <w:rPr>
          <w:highlight w:val="white"/>
        </w:rPr>
      </w:pPr>
      <w:r>
        <w:rPr>
          <w:highlight w:val="white"/>
        </w:rPr>
        <w:t>M: +421 910 177779</w:t>
      </w:r>
    </w:p>
    <w:p w:rsidR="007B5C6E" w:rsidRDefault="00D914D3">
      <w:pPr>
        <w:spacing w:after="160"/>
        <w:jc w:val="both"/>
        <w:rPr>
          <w:highlight w:val="white"/>
        </w:rPr>
      </w:pPr>
      <w:r>
        <w:rPr>
          <w:highlight w:val="white"/>
        </w:rPr>
        <w:t xml:space="preserve">E: </w:t>
      </w:r>
      <w:hyperlink r:id="rId23">
        <w:r>
          <w:rPr>
            <w:color w:val="1155CC"/>
            <w:highlight w:val="white"/>
            <w:u w:val="single"/>
          </w:rPr>
          <w:t>ivanic@hrl.sk</w:t>
        </w:r>
      </w:hyperlink>
      <w:r>
        <w:rPr>
          <w:highlight w:val="white"/>
        </w:rPr>
        <w:t xml:space="preserve">  </w:t>
      </w:r>
    </w:p>
    <w:p w:rsidR="007B5C6E" w:rsidRDefault="00D914D3">
      <w:pPr>
        <w:jc w:val="both"/>
      </w:pPr>
      <w:r>
        <w:t xml:space="preserve"> </w:t>
      </w:r>
    </w:p>
    <w:p w:rsidR="007B5C6E" w:rsidRDefault="00D914D3">
      <w:pPr>
        <w:jc w:val="both"/>
      </w:pPr>
      <w:r>
        <w:t xml:space="preserve"> </w:t>
      </w:r>
    </w:p>
    <w:sectPr w:rsidR="007B5C6E" w:rsidSect="007B5C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C6E"/>
    <w:rsid w:val="007B5C6E"/>
    <w:rsid w:val="00D914D3"/>
    <w:rsid w:val="21FD4EC1"/>
    <w:rsid w:val="3F0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C6E"/>
    <w:rPr>
      <w:sz w:val="22"/>
      <w:szCs w:val="22"/>
      <w:lang w:val="zh-CN"/>
    </w:rPr>
  </w:style>
  <w:style w:type="paragraph" w:styleId="Heading1">
    <w:name w:val="heading 1"/>
    <w:basedOn w:val="Normal"/>
    <w:next w:val="Normal"/>
    <w:rsid w:val="007B5C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B5C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B5C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B5C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B5C6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B5C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7B5C6E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rsid w:val="007B5C6E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rsid w:val="007B5C6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91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sunderthreat.org/" TargetMode="External"/><Relationship Id="rId13" Type="http://schemas.openxmlformats.org/officeDocument/2006/relationships/hyperlink" Target="http://peoplesunderthreat.org/countries/somalia/" TargetMode="External"/><Relationship Id="rId18" Type="http://schemas.openxmlformats.org/officeDocument/2006/relationships/hyperlink" Target="http://peoplesunderthreat.org/countries/myanma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oplesunderthreat.org/" TargetMode="External"/><Relationship Id="rId7" Type="http://schemas.openxmlformats.org/officeDocument/2006/relationships/hyperlink" Target="https://www.ceasefire.org/" TargetMode="External"/><Relationship Id="rId12" Type="http://schemas.openxmlformats.org/officeDocument/2006/relationships/hyperlink" Target="http://peoplesunderthreat.org/countries/congo-the-democratic-republic-of-the/" TargetMode="External"/><Relationship Id="rId17" Type="http://schemas.openxmlformats.org/officeDocument/2006/relationships/hyperlink" Target="https://www.ceasefire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eoplesunderthreat.org/countries/libya/" TargetMode="External"/><Relationship Id="rId20" Type="http://schemas.openxmlformats.org/officeDocument/2006/relationships/hyperlink" Target="http://peoplesunderthreat.org/countries/syrian-arab-republi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norityrights.org/" TargetMode="External"/><Relationship Id="rId11" Type="http://schemas.openxmlformats.org/officeDocument/2006/relationships/hyperlink" Target="http://peoplesunderthreat.org/countries/afghanista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eoplesunderthreat.org/countries/iraq/" TargetMode="External"/><Relationship Id="rId23" Type="http://schemas.openxmlformats.org/officeDocument/2006/relationships/hyperlink" Target="mailto:ivanic@hrl.sk" TargetMode="External"/><Relationship Id="rId10" Type="http://schemas.openxmlformats.org/officeDocument/2006/relationships/hyperlink" Target="http://peoplesunderthreat.org/countries/venezuela-bolivarian-republic-of/" TargetMode="External"/><Relationship Id="rId19" Type="http://schemas.openxmlformats.org/officeDocument/2006/relationships/hyperlink" Target="http://minorityrights.org/minorities/muslims-and-rohing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oplesunderthreat.org/countries/ethiopia/" TargetMode="External"/><Relationship Id="rId14" Type="http://schemas.openxmlformats.org/officeDocument/2006/relationships/hyperlink" Target="http://peoplesunderthreat.org/countries/niger/" TargetMode="External"/><Relationship Id="rId22" Type="http://schemas.openxmlformats.org/officeDocument/2006/relationships/hyperlink" Target="mailto:anna.alboth@mrg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emma</cp:lastModifiedBy>
  <cp:revision>2</cp:revision>
  <dcterms:created xsi:type="dcterms:W3CDTF">2018-06-11T17:45:00Z</dcterms:created>
  <dcterms:modified xsi:type="dcterms:W3CDTF">2018-06-12T09:51:00Z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